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C125C7">
        <w:rPr>
          <w:b/>
        </w:rPr>
        <w:t xml:space="preserve">        </w:t>
      </w:r>
      <w:r w:rsidR="0033140B">
        <w:rPr>
          <w:b/>
        </w:rPr>
        <w:t xml:space="preserve"> </w:t>
      </w:r>
      <w:r w:rsidR="0033140B">
        <w:t>Nr.</w:t>
      </w:r>
      <w:r w:rsidR="00ED5793">
        <w:t xml:space="preserve"> 2837</w:t>
      </w:r>
      <w:r w:rsidR="00F5215F">
        <w:t>3</w:t>
      </w:r>
      <w:r w:rsidR="00FB0E7D">
        <w:t xml:space="preserve"> </w:t>
      </w:r>
      <w:r>
        <w:t>din</w:t>
      </w:r>
      <w:r w:rsidR="000D7CF8">
        <w:t xml:space="preserve"> </w:t>
      </w:r>
      <w:r w:rsidR="00ED5793">
        <w:t>31</w:t>
      </w:r>
      <w:r w:rsidR="00FB0E7D">
        <w:t>.0</w:t>
      </w:r>
      <w:r w:rsidR="00F5215F">
        <w:t>8</w:t>
      </w:r>
      <w:r w:rsidR="00FB0E7D">
        <w:t>.2022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Ex.nr.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2E4354" w:rsidP="004311E9">
      <w:pPr>
        <w:pStyle w:val="Header"/>
      </w:pPr>
      <w:r>
        <w:t xml:space="preserve">              COMISIA</w:t>
      </w:r>
      <w:r w:rsidR="0033140B">
        <w:t xml:space="preserve"> </w:t>
      </w:r>
      <w:r>
        <w:t>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 xml:space="preserve">Cod operator date cu caracter personal </w:t>
      </w: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 w:rsidR="00AC750E">
        <w:rPr>
          <w:rFonts w:eastAsia="SimSun"/>
          <w:b/>
          <w:bCs/>
          <w:sz w:val="22"/>
          <w:szCs w:val="22"/>
        </w:rPr>
        <w:t xml:space="preserve"> </w:t>
      </w:r>
      <w:r w:rsidR="002E4354">
        <w:rPr>
          <w:rFonts w:eastAsia="SimSun"/>
          <w:b/>
          <w:bCs/>
          <w:sz w:val="22"/>
          <w:szCs w:val="22"/>
        </w:rPr>
        <w:t>Î/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</w:t>
      </w:r>
      <w:r w:rsidR="002E4354">
        <w:rPr>
          <w:rFonts w:eastAsia="SimSun"/>
          <w:b/>
          <w:sz w:val="22"/>
          <w:szCs w:val="22"/>
        </w:rPr>
        <w:t xml:space="preserve">        </w:t>
      </w:r>
      <w:r>
        <w:rPr>
          <w:rFonts w:eastAsia="SimSun"/>
          <w:b/>
          <w:sz w:val="22"/>
          <w:szCs w:val="22"/>
        </w:rPr>
        <w:t xml:space="preserve"> </w:t>
      </w:r>
      <w:bookmarkStart w:id="0" w:name="_GoBack"/>
      <w:bookmarkEnd w:id="0"/>
    </w:p>
    <w:p w:rsidR="002F4CE4" w:rsidRDefault="002F4CE4" w:rsidP="00B35C69">
      <w:pPr>
        <w:rPr>
          <w:b/>
          <w:bCs/>
          <w:sz w:val="28"/>
          <w:szCs w:val="28"/>
          <w:u w:val="single"/>
        </w:rPr>
      </w:pPr>
    </w:p>
    <w:p w:rsidR="00D67D3A" w:rsidRPr="0033140B" w:rsidRDefault="00D67D3A" w:rsidP="001B4085">
      <w:pPr>
        <w:jc w:val="center"/>
        <w:rPr>
          <w:bCs/>
          <w:sz w:val="28"/>
          <w:szCs w:val="28"/>
          <w:u w:val="single"/>
        </w:rPr>
      </w:pPr>
      <w:r w:rsidRPr="0033140B">
        <w:rPr>
          <w:bCs/>
          <w:sz w:val="28"/>
          <w:szCs w:val="28"/>
          <w:u w:val="single"/>
        </w:rPr>
        <w:t>A N U N Ţ</w:t>
      </w:r>
    </w:p>
    <w:p w:rsidR="0033140B" w:rsidRPr="0033140B" w:rsidRDefault="002E4354" w:rsidP="0033140B">
      <w:pPr>
        <w:tabs>
          <w:tab w:val="left" w:pos="4654"/>
        </w:tabs>
        <w:jc w:val="center"/>
        <w:rPr>
          <w:sz w:val="28"/>
          <w:szCs w:val="28"/>
          <w:u w:val="single"/>
          <w:lang w:val="en-US"/>
        </w:rPr>
      </w:pPr>
      <w:r>
        <w:rPr>
          <w:bCs/>
          <w:sz w:val="28"/>
          <w:szCs w:val="28"/>
          <w:u w:val="single"/>
        </w:rPr>
        <w:t xml:space="preserve">Privind programarea la proba scrisă a candidaților la concursul pentru ocuparea </w:t>
      </w:r>
      <w:r w:rsidR="00F5215F">
        <w:rPr>
          <w:bCs/>
          <w:sz w:val="28"/>
          <w:szCs w:val="28"/>
          <w:u w:val="single"/>
        </w:rPr>
        <w:t>unei</w:t>
      </w:r>
      <w:r>
        <w:rPr>
          <w:bCs/>
          <w:sz w:val="28"/>
          <w:szCs w:val="28"/>
          <w:u w:val="single"/>
        </w:rPr>
        <w:t xml:space="preserve"> funcții de </w:t>
      </w:r>
      <w:r w:rsidR="00F5215F">
        <w:rPr>
          <w:bCs/>
          <w:sz w:val="28"/>
          <w:szCs w:val="28"/>
          <w:u w:val="single"/>
        </w:rPr>
        <w:t>agent</w:t>
      </w:r>
      <w:r>
        <w:rPr>
          <w:bCs/>
          <w:sz w:val="28"/>
          <w:szCs w:val="28"/>
          <w:u w:val="single"/>
        </w:rPr>
        <w:t xml:space="preserve"> de poliție la Serviciul </w:t>
      </w:r>
      <w:r w:rsidR="00F5215F">
        <w:rPr>
          <w:bCs/>
          <w:sz w:val="28"/>
          <w:szCs w:val="28"/>
          <w:u w:val="single"/>
        </w:rPr>
        <w:t>Logistic</w:t>
      </w:r>
      <w:r w:rsidR="00ED5793">
        <w:rPr>
          <w:bCs/>
          <w:sz w:val="28"/>
          <w:szCs w:val="28"/>
          <w:u w:val="single"/>
        </w:rPr>
        <w:t>,</w:t>
      </w:r>
      <w:r w:rsidR="00ED5793" w:rsidRPr="00ED5793">
        <w:rPr>
          <w:bCs/>
          <w:sz w:val="28"/>
          <w:szCs w:val="28"/>
          <w:u w:val="single"/>
        </w:rPr>
        <w:t xml:space="preserve"> </w:t>
      </w:r>
      <w:r w:rsidR="00ED5793">
        <w:rPr>
          <w:bCs/>
          <w:sz w:val="28"/>
          <w:szCs w:val="28"/>
          <w:u w:val="single"/>
        </w:rPr>
        <w:t>prin încadrare directă</w:t>
      </w:r>
    </w:p>
    <w:p w:rsidR="0033140B" w:rsidRDefault="0033140B" w:rsidP="0033140B">
      <w:pPr>
        <w:rPr>
          <w:sz w:val="20"/>
          <w:szCs w:val="20"/>
          <w:u w:val="single"/>
          <w:lang w:val="en-US"/>
        </w:rPr>
      </w:pPr>
    </w:p>
    <w:p w:rsidR="002F4CE4" w:rsidRPr="0033140B" w:rsidRDefault="002F4CE4" w:rsidP="0033140B">
      <w:pPr>
        <w:rPr>
          <w:sz w:val="20"/>
          <w:szCs w:val="20"/>
          <w:u w:val="single"/>
          <w:lang w:val="en-US"/>
        </w:rPr>
      </w:pPr>
    </w:p>
    <w:p w:rsidR="00631843" w:rsidRPr="008B4040" w:rsidRDefault="00631843" w:rsidP="0096194F">
      <w:pPr>
        <w:jc w:val="center"/>
        <w:rPr>
          <w:bCs/>
          <w:sz w:val="28"/>
          <w:szCs w:val="28"/>
        </w:rPr>
      </w:pPr>
    </w:p>
    <w:p w:rsidR="002A0647" w:rsidRDefault="00D67D3A" w:rsidP="002A0647">
      <w:pPr>
        <w:ind w:firstLine="708"/>
        <w:jc w:val="both"/>
        <w:rPr>
          <w:bCs/>
          <w:sz w:val="28"/>
          <w:szCs w:val="28"/>
        </w:rPr>
      </w:pPr>
      <w:r w:rsidRPr="00DB301E">
        <w:rPr>
          <w:b/>
          <w:sz w:val="28"/>
          <w:szCs w:val="28"/>
          <w:u w:val="single"/>
        </w:rPr>
        <w:t xml:space="preserve">În </w:t>
      </w:r>
      <w:r w:rsidR="002A0647" w:rsidRPr="00DB301E">
        <w:rPr>
          <w:b/>
          <w:sz w:val="28"/>
          <w:szCs w:val="28"/>
          <w:u w:val="single"/>
        </w:rPr>
        <w:t xml:space="preserve">data de </w:t>
      </w:r>
      <w:r w:rsidR="00C125C7">
        <w:rPr>
          <w:b/>
          <w:sz w:val="28"/>
          <w:szCs w:val="28"/>
          <w:u w:val="single"/>
        </w:rPr>
        <w:t>0</w:t>
      </w:r>
      <w:r w:rsidR="002E4354">
        <w:rPr>
          <w:b/>
          <w:sz w:val="28"/>
          <w:szCs w:val="28"/>
          <w:u w:val="single"/>
        </w:rPr>
        <w:t>3</w:t>
      </w:r>
      <w:r w:rsidR="00C125C7">
        <w:rPr>
          <w:b/>
          <w:sz w:val="28"/>
          <w:szCs w:val="28"/>
          <w:u w:val="single"/>
        </w:rPr>
        <w:t>.0</w:t>
      </w:r>
      <w:r w:rsidR="002E4354">
        <w:rPr>
          <w:b/>
          <w:sz w:val="28"/>
          <w:szCs w:val="28"/>
          <w:u w:val="single"/>
        </w:rPr>
        <w:t>9</w:t>
      </w:r>
      <w:r w:rsidR="00C125C7">
        <w:rPr>
          <w:b/>
          <w:sz w:val="28"/>
          <w:szCs w:val="28"/>
          <w:u w:val="single"/>
        </w:rPr>
        <w:t>.2022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>” Arad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 w:rsidR="002E4354" w:rsidRPr="00F5215F">
        <w:rPr>
          <w:b/>
          <w:color w:val="000000"/>
          <w:sz w:val="28"/>
          <w:szCs w:val="28"/>
        </w:rPr>
        <w:t xml:space="preserve">SALA </w:t>
      </w:r>
      <w:r w:rsidR="00F5215F" w:rsidRPr="00F5215F">
        <w:rPr>
          <w:b/>
          <w:color w:val="000000"/>
          <w:sz w:val="28"/>
          <w:szCs w:val="28"/>
        </w:rPr>
        <w:t>C 0 - 27</w:t>
      </w:r>
      <w:r w:rsidR="002E4354">
        <w:rPr>
          <w:color w:val="000000"/>
          <w:sz w:val="28"/>
          <w:szCs w:val="28"/>
        </w:rPr>
        <w:t xml:space="preserve">, </w:t>
      </w:r>
      <w:r w:rsidR="00ED5793">
        <w:rPr>
          <w:b/>
          <w:color w:val="000000"/>
          <w:sz w:val="28"/>
          <w:szCs w:val="28"/>
          <w:u w:val="single"/>
        </w:rPr>
        <w:t>se va desfășura proba scrisă</w:t>
      </w:r>
      <w:r w:rsidR="00F93282">
        <w:rPr>
          <w:color w:val="000000"/>
          <w:sz w:val="28"/>
          <w:szCs w:val="28"/>
        </w:rPr>
        <w:t xml:space="preserve">, </w:t>
      </w:r>
      <w:r w:rsidR="0033140B">
        <w:rPr>
          <w:color w:val="000000"/>
          <w:sz w:val="28"/>
          <w:szCs w:val="28"/>
        </w:rPr>
        <w:t xml:space="preserve">din cadrul </w:t>
      </w:r>
      <w:r w:rsidR="002A0647" w:rsidRPr="008B4040">
        <w:rPr>
          <w:color w:val="000000"/>
          <w:sz w:val="28"/>
          <w:szCs w:val="28"/>
        </w:rPr>
        <w:t xml:space="preserve"> </w:t>
      </w:r>
      <w:r w:rsidR="003D2D0D" w:rsidRPr="008B4040">
        <w:rPr>
          <w:color w:val="000000"/>
          <w:sz w:val="28"/>
          <w:szCs w:val="28"/>
        </w:rPr>
        <w:t xml:space="preserve">concursului </w:t>
      </w:r>
      <w:r w:rsidR="0033140B" w:rsidRPr="0033140B">
        <w:rPr>
          <w:bCs/>
          <w:sz w:val="28"/>
          <w:szCs w:val="28"/>
        </w:rPr>
        <w:t xml:space="preserve">organizat </w:t>
      </w:r>
      <w:proofErr w:type="spellStart"/>
      <w:r w:rsidR="002E4354">
        <w:rPr>
          <w:sz w:val="28"/>
          <w:szCs w:val="28"/>
          <w:lang w:val="en-US"/>
        </w:rPr>
        <w:t>ocuparea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proofErr w:type="spellStart"/>
      <w:r w:rsidR="00F5215F">
        <w:rPr>
          <w:sz w:val="28"/>
          <w:szCs w:val="28"/>
          <w:lang w:val="en-US"/>
        </w:rPr>
        <w:t>unei</w:t>
      </w:r>
      <w:proofErr w:type="spellEnd"/>
      <w:r w:rsidR="00F5215F">
        <w:rPr>
          <w:sz w:val="28"/>
          <w:szCs w:val="28"/>
          <w:lang w:val="en-US"/>
        </w:rPr>
        <w:t xml:space="preserve"> </w:t>
      </w:r>
      <w:proofErr w:type="spellStart"/>
      <w:r w:rsidR="00F5215F">
        <w:rPr>
          <w:sz w:val="28"/>
          <w:szCs w:val="28"/>
          <w:lang w:val="en-US"/>
        </w:rPr>
        <w:t>funcții</w:t>
      </w:r>
      <w:proofErr w:type="spellEnd"/>
      <w:r w:rsidR="00F5215F">
        <w:rPr>
          <w:sz w:val="28"/>
          <w:szCs w:val="28"/>
          <w:lang w:val="en-US"/>
        </w:rPr>
        <w:t xml:space="preserve"> </w:t>
      </w:r>
      <w:proofErr w:type="spellStart"/>
      <w:r w:rsidR="00ED5793">
        <w:rPr>
          <w:sz w:val="28"/>
          <w:szCs w:val="28"/>
          <w:lang w:val="en-US"/>
        </w:rPr>
        <w:t>vacante</w:t>
      </w:r>
      <w:proofErr w:type="spellEnd"/>
      <w:r w:rsidR="00ED5793">
        <w:rPr>
          <w:sz w:val="28"/>
          <w:szCs w:val="28"/>
          <w:lang w:val="en-US"/>
        </w:rPr>
        <w:t xml:space="preserve"> </w:t>
      </w:r>
      <w:r w:rsidR="002E4354">
        <w:rPr>
          <w:sz w:val="28"/>
          <w:szCs w:val="28"/>
          <w:lang w:val="en-US"/>
        </w:rPr>
        <w:t xml:space="preserve">de </w:t>
      </w:r>
      <w:r w:rsidR="00F5215F">
        <w:rPr>
          <w:sz w:val="28"/>
          <w:szCs w:val="28"/>
          <w:lang w:val="en-US"/>
        </w:rPr>
        <w:t>agent</w:t>
      </w:r>
      <w:r w:rsidR="002E4354">
        <w:rPr>
          <w:sz w:val="28"/>
          <w:szCs w:val="28"/>
          <w:lang w:val="en-US"/>
        </w:rPr>
        <w:t xml:space="preserve"> de </w:t>
      </w:r>
      <w:proofErr w:type="spellStart"/>
      <w:r w:rsidR="002E4354">
        <w:rPr>
          <w:sz w:val="28"/>
          <w:szCs w:val="28"/>
          <w:lang w:val="en-US"/>
        </w:rPr>
        <w:t>poliție</w:t>
      </w:r>
      <w:proofErr w:type="spellEnd"/>
      <w:r w:rsidR="00ED5793">
        <w:rPr>
          <w:sz w:val="28"/>
          <w:szCs w:val="28"/>
          <w:lang w:val="en-US"/>
        </w:rPr>
        <w:t xml:space="preserve"> </w:t>
      </w:r>
      <w:proofErr w:type="spellStart"/>
      <w:r w:rsidR="00ED5793">
        <w:rPr>
          <w:sz w:val="28"/>
          <w:szCs w:val="28"/>
          <w:lang w:val="en-US"/>
        </w:rPr>
        <w:t>existent</w:t>
      </w:r>
      <w:r w:rsidR="00F5215F">
        <w:rPr>
          <w:sz w:val="28"/>
          <w:szCs w:val="28"/>
          <w:lang w:val="en-US"/>
        </w:rPr>
        <w:t>ă</w:t>
      </w:r>
      <w:proofErr w:type="spellEnd"/>
      <w:r w:rsidR="00ED5793">
        <w:rPr>
          <w:sz w:val="28"/>
          <w:szCs w:val="28"/>
          <w:lang w:val="en-US"/>
        </w:rPr>
        <w:t xml:space="preserve"> la </w:t>
      </w:r>
      <w:proofErr w:type="spellStart"/>
      <w:r w:rsidR="00ED5793">
        <w:rPr>
          <w:sz w:val="28"/>
          <w:szCs w:val="28"/>
          <w:lang w:val="en-US"/>
        </w:rPr>
        <w:t>Servici</w:t>
      </w:r>
      <w:r w:rsidR="002E4354">
        <w:rPr>
          <w:sz w:val="28"/>
          <w:szCs w:val="28"/>
          <w:lang w:val="en-US"/>
        </w:rPr>
        <w:t>ul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r w:rsidR="00F5215F">
        <w:rPr>
          <w:sz w:val="28"/>
          <w:szCs w:val="28"/>
          <w:lang w:val="en-US"/>
        </w:rPr>
        <w:t>Logistic</w:t>
      </w:r>
      <w:r w:rsidR="002E4354">
        <w:rPr>
          <w:sz w:val="28"/>
          <w:szCs w:val="28"/>
          <w:lang w:val="en-US"/>
        </w:rPr>
        <w:t xml:space="preserve">, </w:t>
      </w:r>
      <w:proofErr w:type="spellStart"/>
      <w:r w:rsidR="002E4354">
        <w:rPr>
          <w:sz w:val="28"/>
          <w:szCs w:val="28"/>
          <w:lang w:val="en-US"/>
        </w:rPr>
        <w:t>prin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proofErr w:type="spellStart"/>
      <w:r w:rsidR="002E4354">
        <w:rPr>
          <w:sz w:val="28"/>
          <w:szCs w:val="28"/>
          <w:lang w:val="en-US"/>
        </w:rPr>
        <w:t>încadrare</w:t>
      </w:r>
      <w:proofErr w:type="spellEnd"/>
      <w:r w:rsidR="002E4354">
        <w:rPr>
          <w:sz w:val="28"/>
          <w:szCs w:val="28"/>
          <w:lang w:val="en-US"/>
        </w:rPr>
        <w:t xml:space="preserve"> din </w:t>
      </w:r>
      <w:proofErr w:type="spellStart"/>
      <w:r w:rsidR="002E4354">
        <w:rPr>
          <w:sz w:val="28"/>
          <w:szCs w:val="28"/>
          <w:lang w:val="en-US"/>
        </w:rPr>
        <w:t>sursă</w:t>
      </w:r>
      <w:proofErr w:type="spellEnd"/>
      <w:r w:rsidR="002E4354">
        <w:rPr>
          <w:sz w:val="28"/>
          <w:szCs w:val="28"/>
          <w:lang w:val="en-US"/>
        </w:rPr>
        <w:t xml:space="preserve"> </w:t>
      </w:r>
      <w:proofErr w:type="spellStart"/>
      <w:r w:rsidR="002E4354">
        <w:rPr>
          <w:sz w:val="28"/>
          <w:szCs w:val="28"/>
          <w:lang w:val="en-US"/>
        </w:rPr>
        <w:t>externă</w:t>
      </w:r>
      <w:proofErr w:type="spellEnd"/>
      <w:r w:rsidR="002E4354">
        <w:rPr>
          <w:sz w:val="28"/>
          <w:szCs w:val="28"/>
          <w:lang w:val="en-US"/>
        </w:rPr>
        <w:t>.</w:t>
      </w:r>
    </w:p>
    <w:p w:rsidR="00ED5793" w:rsidRDefault="002E4354" w:rsidP="00C352F3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Acesul c</w:t>
      </w:r>
      <w:r w:rsidR="002A0647" w:rsidRPr="00DB301E">
        <w:rPr>
          <w:b/>
          <w:sz w:val="28"/>
          <w:szCs w:val="28"/>
        </w:rPr>
        <w:t>andidați</w:t>
      </w:r>
      <w:r>
        <w:rPr>
          <w:b/>
          <w:sz w:val="28"/>
          <w:szCs w:val="28"/>
        </w:rPr>
        <w:t>lor</w:t>
      </w:r>
      <w:r w:rsidR="0033140B" w:rsidRPr="00DB301E">
        <w:rPr>
          <w:b/>
          <w:sz w:val="28"/>
          <w:szCs w:val="28"/>
        </w:rPr>
        <w:t xml:space="preserve">, menționați în </w:t>
      </w:r>
      <w:r w:rsidR="0033140B" w:rsidRPr="00DB301E">
        <w:rPr>
          <w:b/>
          <w:sz w:val="28"/>
          <w:szCs w:val="28"/>
          <w:u w:val="single"/>
        </w:rPr>
        <w:t>tabel</w:t>
      </w:r>
      <w:r w:rsidR="00ED5793">
        <w:rPr>
          <w:b/>
          <w:sz w:val="28"/>
          <w:szCs w:val="28"/>
          <w:u w:val="single"/>
        </w:rPr>
        <w:t>ul</w:t>
      </w:r>
      <w:r w:rsidR="00DC681B" w:rsidRPr="00DB301E">
        <w:rPr>
          <w:b/>
          <w:sz w:val="28"/>
          <w:szCs w:val="28"/>
          <w:u w:val="single"/>
        </w:rPr>
        <w:t xml:space="preserve"> de mai jos</w:t>
      </w:r>
      <w:r w:rsidR="002A0647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 va efectua</w:t>
      </w:r>
      <w:r w:rsidR="002A0647" w:rsidRPr="00DB3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începând cu </w:t>
      </w:r>
      <w:r w:rsidR="002A0647" w:rsidRPr="00DB301E">
        <w:rPr>
          <w:b/>
          <w:sz w:val="28"/>
          <w:szCs w:val="28"/>
        </w:rPr>
        <w:t xml:space="preserve">ora </w:t>
      </w:r>
      <w:r w:rsidR="00DB301E" w:rsidRPr="00B35C69">
        <w:rPr>
          <w:b/>
          <w:sz w:val="28"/>
          <w:szCs w:val="28"/>
        </w:rPr>
        <w:t>08.</w:t>
      </w:r>
      <w:r w:rsidR="00ED5793">
        <w:rPr>
          <w:b/>
          <w:sz w:val="28"/>
          <w:szCs w:val="28"/>
        </w:rPr>
        <w:t>0</w:t>
      </w:r>
      <w:r w:rsidR="00DB301E" w:rsidRPr="00B35C69">
        <w:rPr>
          <w:b/>
          <w:sz w:val="28"/>
          <w:szCs w:val="28"/>
        </w:rPr>
        <w:t>0</w:t>
      </w:r>
      <w:r w:rsidR="00ED5793">
        <w:rPr>
          <w:b/>
          <w:sz w:val="28"/>
          <w:szCs w:val="28"/>
        </w:rPr>
        <w:t xml:space="preserve">, </w:t>
      </w:r>
      <w:r w:rsidR="002A0647" w:rsidRPr="00DB301E">
        <w:rPr>
          <w:b/>
          <w:sz w:val="28"/>
          <w:szCs w:val="28"/>
        </w:rPr>
        <w:t xml:space="preserve">urmând ca până la ora </w:t>
      </w:r>
      <w:r w:rsidR="00DB301E" w:rsidRPr="00B35C69">
        <w:rPr>
          <w:b/>
          <w:sz w:val="28"/>
          <w:szCs w:val="28"/>
        </w:rPr>
        <w:t>09.</w:t>
      </w:r>
      <w:r>
        <w:rPr>
          <w:b/>
          <w:sz w:val="28"/>
          <w:szCs w:val="28"/>
        </w:rPr>
        <w:t>15</w:t>
      </w:r>
      <w:r w:rsidR="002A0647" w:rsidRPr="00DB301E">
        <w:rPr>
          <w:b/>
          <w:sz w:val="28"/>
          <w:szCs w:val="28"/>
        </w:rPr>
        <w:t xml:space="preserve"> toți ca</w:t>
      </w:r>
      <w:r w:rsidR="00BD3EAC" w:rsidRPr="00DB301E">
        <w:rPr>
          <w:b/>
          <w:sz w:val="28"/>
          <w:szCs w:val="28"/>
        </w:rPr>
        <w:t xml:space="preserve">ndidații să fie prezenți  </w:t>
      </w:r>
      <w:r w:rsidR="002136DB" w:rsidRPr="00DB301E">
        <w:rPr>
          <w:b/>
          <w:sz w:val="28"/>
          <w:szCs w:val="28"/>
        </w:rPr>
        <w:t xml:space="preserve"> </w:t>
      </w:r>
      <w:r w:rsidR="0033140B" w:rsidRPr="00DB301E">
        <w:rPr>
          <w:b/>
          <w:sz w:val="28"/>
          <w:szCs w:val="28"/>
        </w:rPr>
        <w:t>în sal</w:t>
      </w:r>
      <w:r>
        <w:rPr>
          <w:b/>
          <w:sz w:val="28"/>
          <w:szCs w:val="28"/>
        </w:rPr>
        <w:t>a</w:t>
      </w:r>
      <w:r w:rsidR="00BD3EAC" w:rsidRPr="00DB301E">
        <w:rPr>
          <w:b/>
          <w:sz w:val="28"/>
          <w:szCs w:val="28"/>
        </w:rPr>
        <w:t xml:space="preserve"> de concurs</w:t>
      </w:r>
      <w:r w:rsidR="00AE7DCD" w:rsidRPr="00DB301E">
        <w:rPr>
          <w:b/>
          <w:sz w:val="28"/>
          <w:szCs w:val="28"/>
        </w:rPr>
        <w:t xml:space="preserve"> </w:t>
      </w:r>
      <w:r w:rsidR="00ED5793">
        <w:rPr>
          <w:b/>
          <w:sz w:val="28"/>
          <w:szCs w:val="28"/>
        </w:rPr>
        <w:t>(</w:t>
      </w:r>
      <w:r w:rsidR="0033140B" w:rsidRPr="00DB301E">
        <w:rPr>
          <w:b/>
          <w:sz w:val="28"/>
          <w:szCs w:val="28"/>
        </w:rPr>
        <w:t>respectiv</w:t>
      </w:r>
      <w:r w:rsidR="00BD3EAC" w:rsidRPr="00DB301E">
        <w:rPr>
          <w:b/>
          <w:sz w:val="28"/>
          <w:szCs w:val="28"/>
        </w:rPr>
        <w:t xml:space="preserve"> </w:t>
      </w:r>
      <w:r w:rsidR="00F5215F">
        <w:rPr>
          <w:b/>
          <w:sz w:val="28"/>
          <w:szCs w:val="28"/>
        </w:rPr>
        <w:t xml:space="preserve"> </w:t>
      </w:r>
      <w:r w:rsidR="00F5215F" w:rsidRPr="00F5215F">
        <w:rPr>
          <w:b/>
          <w:color w:val="000000"/>
          <w:sz w:val="28"/>
          <w:szCs w:val="28"/>
        </w:rPr>
        <w:t xml:space="preserve">SALA C 0 </w:t>
      </w:r>
      <w:r w:rsidR="00F5215F">
        <w:rPr>
          <w:b/>
          <w:color w:val="000000"/>
          <w:sz w:val="28"/>
          <w:szCs w:val="28"/>
        </w:rPr>
        <w:t>–</w:t>
      </w:r>
      <w:r w:rsidR="00F5215F" w:rsidRPr="00F5215F">
        <w:rPr>
          <w:b/>
          <w:color w:val="000000"/>
          <w:sz w:val="28"/>
          <w:szCs w:val="28"/>
        </w:rPr>
        <w:t xml:space="preserve"> 27</w:t>
      </w:r>
      <w:r w:rsidR="00F5215F">
        <w:rPr>
          <w:b/>
          <w:color w:val="000000"/>
          <w:sz w:val="28"/>
          <w:szCs w:val="28"/>
        </w:rPr>
        <w:t xml:space="preserve"> </w:t>
      </w:r>
      <w:r w:rsidR="00ED5793" w:rsidRPr="00F5215F">
        <w:rPr>
          <w:b/>
          <w:sz w:val="28"/>
          <w:szCs w:val="28"/>
        </w:rPr>
        <w:t>)</w:t>
      </w:r>
      <w:r w:rsidR="00C352F3" w:rsidRPr="00DB301E">
        <w:rPr>
          <w:b/>
          <w:sz w:val="28"/>
          <w:szCs w:val="28"/>
        </w:rPr>
        <w:t>.</w:t>
      </w:r>
      <w:r w:rsidR="002136DB" w:rsidRPr="008B4040">
        <w:rPr>
          <w:b/>
          <w:color w:val="000000"/>
          <w:sz w:val="28"/>
          <w:szCs w:val="28"/>
        </w:rPr>
        <w:t xml:space="preserve"> </w:t>
      </w:r>
      <w:r w:rsidR="005D30A3" w:rsidRPr="008B4040">
        <w:rPr>
          <w:b/>
          <w:color w:val="000000"/>
          <w:sz w:val="28"/>
          <w:szCs w:val="28"/>
        </w:rPr>
        <w:t xml:space="preserve"> </w:t>
      </w:r>
    </w:p>
    <w:p w:rsidR="00DC681B" w:rsidRDefault="005D30A3" w:rsidP="00C352F3">
      <w:pPr>
        <w:ind w:firstLine="708"/>
        <w:jc w:val="both"/>
        <w:rPr>
          <w:b/>
          <w:sz w:val="28"/>
          <w:szCs w:val="28"/>
        </w:rPr>
      </w:pPr>
      <w:r w:rsidRPr="00DB301E">
        <w:rPr>
          <w:b/>
          <w:sz w:val="28"/>
          <w:szCs w:val="28"/>
        </w:rPr>
        <w:t>După ora</w:t>
      </w:r>
      <w:r w:rsidR="008B4040" w:rsidRPr="00DB301E">
        <w:rPr>
          <w:b/>
          <w:sz w:val="28"/>
          <w:szCs w:val="28"/>
        </w:rPr>
        <w:t xml:space="preserve"> </w:t>
      </w:r>
      <w:r w:rsidR="00DB301E" w:rsidRPr="00B35C69">
        <w:rPr>
          <w:b/>
          <w:sz w:val="28"/>
          <w:szCs w:val="28"/>
        </w:rPr>
        <w:t>09.</w:t>
      </w:r>
      <w:r w:rsidR="002E4354">
        <w:rPr>
          <w:b/>
          <w:sz w:val="28"/>
          <w:szCs w:val="28"/>
        </w:rPr>
        <w:t>15</w:t>
      </w:r>
      <w:r w:rsidR="00DC681B" w:rsidRPr="00ED5793">
        <w:rPr>
          <w:sz w:val="28"/>
          <w:szCs w:val="28"/>
        </w:rPr>
        <w:t>,</w:t>
      </w:r>
      <w:r w:rsidR="00DC681B" w:rsidRPr="00DB301E">
        <w:rPr>
          <w:b/>
          <w:sz w:val="28"/>
          <w:szCs w:val="28"/>
        </w:rPr>
        <w:t xml:space="preserve"> </w:t>
      </w:r>
      <w:r w:rsidR="00AE7DCD" w:rsidRPr="00DB301E">
        <w:rPr>
          <w:b/>
          <w:sz w:val="28"/>
          <w:szCs w:val="28"/>
        </w:rPr>
        <w:t xml:space="preserve">candidaților </w:t>
      </w:r>
      <w:r w:rsidR="00DC681B" w:rsidRPr="00DB301E">
        <w:rPr>
          <w:b/>
          <w:sz w:val="28"/>
          <w:szCs w:val="28"/>
        </w:rPr>
        <w:t>nu li se v</w:t>
      </w:r>
      <w:r w:rsidR="0033140B" w:rsidRPr="00DB301E">
        <w:rPr>
          <w:b/>
          <w:sz w:val="28"/>
          <w:szCs w:val="28"/>
        </w:rPr>
        <w:t>a mai permite accesul în sal</w:t>
      </w:r>
      <w:r w:rsidR="002E4354">
        <w:rPr>
          <w:b/>
          <w:sz w:val="28"/>
          <w:szCs w:val="28"/>
        </w:rPr>
        <w:t>ă</w:t>
      </w:r>
      <w:r w:rsidR="005A201B" w:rsidRPr="00DB301E">
        <w:rPr>
          <w:b/>
          <w:sz w:val="28"/>
          <w:szCs w:val="28"/>
        </w:rPr>
        <w:t xml:space="preserve"> și vor fi declarați </w:t>
      </w:r>
      <w:r w:rsidR="005A201B" w:rsidRPr="00DB301E">
        <w:rPr>
          <w:b/>
          <w:sz w:val="28"/>
          <w:szCs w:val="28"/>
          <w:lang w:val="en-US"/>
        </w:rPr>
        <w:t>“</w:t>
      </w:r>
      <w:r w:rsidR="002E4354" w:rsidRPr="002E4354">
        <w:rPr>
          <w:b/>
          <w:sz w:val="28"/>
          <w:szCs w:val="28"/>
          <w:u w:val="single"/>
          <w:lang w:val="en-US"/>
        </w:rPr>
        <w:t>NEPREZENTAT</w:t>
      </w:r>
      <w:r w:rsidR="005A201B" w:rsidRPr="002E4354">
        <w:rPr>
          <w:b/>
          <w:sz w:val="28"/>
          <w:szCs w:val="28"/>
          <w:u w:val="single"/>
          <w:lang w:val="en-US"/>
        </w:rPr>
        <w:t xml:space="preserve">”, </w:t>
      </w:r>
      <w:proofErr w:type="spellStart"/>
      <w:r w:rsidR="005A201B" w:rsidRPr="002E4354">
        <w:rPr>
          <w:b/>
          <w:sz w:val="28"/>
          <w:szCs w:val="28"/>
          <w:u w:val="single"/>
          <w:lang w:val="en-US"/>
        </w:rPr>
        <w:t>indiferent</w:t>
      </w:r>
      <w:proofErr w:type="spellEnd"/>
      <w:r w:rsidR="005A201B" w:rsidRPr="002E4354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5A201B" w:rsidRPr="002E4354">
        <w:rPr>
          <w:b/>
          <w:sz w:val="28"/>
          <w:szCs w:val="28"/>
          <w:u w:val="single"/>
          <w:lang w:val="en-US"/>
        </w:rPr>
        <w:t>dac</w:t>
      </w:r>
      <w:proofErr w:type="spellEnd"/>
      <w:r w:rsidR="005A201B" w:rsidRPr="002E4354">
        <w:rPr>
          <w:b/>
          <w:sz w:val="28"/>
          <w:szCs w:val="28"/>
          <w:u w:val="single"/>
        </w:rPr>
        <w:t>ă se află sau nu în incinta instituției.</w:t>
      </w:r>
    </w:p>
    <w:p w:rsidR="002E4354" w:rsidRDefault="002E4354" w:rsidP="00C352F3">
      <w:pPr>
        <w:ind w:firstLine="708"/>
        <w:jc w:val="both"/>
        <w:rPr>
          <w:b/>
          <w:sz w:val="28"/>
          <w:szCs w:val="28"/>
        </w:rPr>
      </w:pPr>
    </w:p>
    <w:p w:rsidR="002E4354" w:rsidRPr="00DB301E" w:rsidRDefault="002E4354" w:rsidP="002E4354">
      <w:pPr>
        <w:tabs>
          <w:tab w:val="left" w:pos="282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6946" w:type="dxa"/>
        <w:tblInd w:w="1074" w:type="dxa"/>
        <w:tblLook w:val="04A0" w:firstRow="1" w:lastRow="0" w:firstColumn="1" w:lastColumn="0" w:noHBand="0" w:noVBand="1"/>
      </w:tblPr>
      <w:tblGrid>
        <w:gridCol w:w="877"/>
        <w:gridCol w:w="6069"/>
      </w:tblGrid>
      <w:tr w:rsidR="00F5215F" w:rsidRPr="00F5215F" w:rsidTr="00107AD2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Nr. crt.</w:t>
            </w:r>
          </w:p>
        </w:tc>
        <w:tc>
          <w:tcPr>
            <w:tcW w:w="6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Codul unic de identificare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AR-LOG-AG-30364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AR-LOG-AG-30370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AR-LOG-AG-30398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AR-LOG-AG-30357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AR-LOG-AG-30416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AR-LOG-AG-30371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AR-LOG-AG-30400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AR-LOG-AG-30345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AR-LOG-AG-30303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AR-LOG-AG-30318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AR-LOG-AG-30406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AR-LOG-AG-30321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AR-LOG-AG-30408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AR-LOG-AG-30373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AR-LOG-AG-30353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lastRenderedPageBreak/>
              <w:t>17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AR-LOG-AG-30339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AR-LOG-AG-30420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AR-LOG-AG-30346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AR-LOG-AG-30399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AR-LOG-AG-30366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AR-LOG-AG-30341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AR-LOG-AG-30344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AR-LOG-AG-30320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AR-LOG-AG-30324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AR-LOG-AG-30313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AR-LOG-AG-30403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AR-LOG-AG-30333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29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AR-LOG-AG-30354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AR-LOG-AG-30419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AR-LOG-AG-30331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5215F">
              <w:rPr>
                <w:b/>
                <w:sz w:val="28"/>
                <w:szCs w:val="28"/>
                <w:lang w:eastAsia="ro-RO"/>
              </w:rPr>
              <w:t>33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 w:rsidRPr="00F5215F">
              <w:rPr>
                <w:b/>
                <w:sz w:val="28"/>
                <w:szCs w:val="28"/>
                <w:lang w:eastAsia="ro-RO"/>
              </w:rPr>
              <w:t>AR-LOG-AG-30405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AR-LOG-AG-30332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AR-LOG-AG-30411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AR-LOG-AG-30402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AR-LOG-AG-30302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39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AR-LOG-AG-30317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AR-LOG-AG-30415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AR-LOG-AG-30361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AR-LOG-AG-30367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AR-LOG-AG-30362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AR-LOG-AG-30358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AR-LOG-AG-30365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AR-LOG-AG-30413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AR-LOG-AG-30418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49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AR-LOG-AG-30359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50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AR-LOG-AG-30404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51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AR-LOG-AG-30356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52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AR-LOG-AG-30369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53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AR-LOG-AG-30310</w:t>
            </w:r>
          </w:p>
        </w:tc>
      </w:tr>
      <w:tr w:rsidR="00F5215F" w:rsidRPr="00F5215F" w:rsidTr="00107AD2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54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15F" w:rsidRPr="00F5215F" w:rsidRDefault="00F5215F" w:rsidP="00F5215F">
            <w:pPr>
              <w:jc w:val="center"/>
              <w:rPr>
                <w:b/>
                <w:color w:val="000000"/>
                <w:sz w:val="28"/>
                <w:szCs w:val="28"/>
                <w:lang w:eastAsia="ro-RO"/>
              </w:rPr>
            </w:pPr>
            <w:r w:rsidRPr="00F5215F">
              <w:rPr>
                <w:b/>
                <w:color w:val="000000"/>
                <w:sz w:val="28"/>
                <w:szCs w:val="28"/>
                <w:lang w:eastAsia="ro-RO"/>
              </w:rPr>
              <w:t>AR-LOG-AG-30342</w:t>
            </w:r>
          </w:p>
        </w:tc>
      </w:tr>
    </w:tbl>
    <w:p w:rsidR="002E4354" w:rsidRPr="00DB301E" w:rsidRDefault="002E4354" w:rsidP="002E4354">
      <w:pPr>
        <w:tabs>
          <w:tab w:val="left" w:pos="2826"/>
        </w:tabs>
        <w:ind w:firstLine="708"/>
        <w:jc w:val="both"/>
        <w:rPr>
          <w:b/>
          <w:sz w:val="28"/>
          <w:szCs w:val="28"/>
        </w:rPr>
      </w:pPr>
    </w:p>
    <w:p w:rsidR="002F4CE4" w:rsidRPr="00F93282" w:rsidRDefault="002136DB" w:rsidP="00F93282">
      <w:pPr>
        <w:tabs>
          <w:tab w:val="left" w:pos="540"/>
        </w:tabs>
        <w:jc w:val="both"/>
        <w:rPr>
          <w:b/>
          <w:u w:val="single"/>
        </w:rPr>
      </w:pPr>
      <w:r w:rsidRPr="008B4040">
        <w:rPr>
          <w:b/>
          <w:sz w:val="28"/>
          <w:szCs w:val="28"/>
        </w:rPr>
        <w:tab/>
      </w:r>
    </w:p>
    <w:p w:rsidR="002F4CE4" w:rsidRPr="00AC750E" w:rsidRDefault="009E6331" w:rsidP="00AC750E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</w:p>
    <w:p w:rsidR="002F4CE4" w:rsidRPr="00845A3D" w:rsidRDefault="00BD3EAC" w:rsidP="00C125C7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F93282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B83A6B" w:rsidRDefault="008B4040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Candidații </w:t>
      </w:r>
      <w:r w:rsidR="00B83A6B" w:rsidRPr="00AC750E">
        <w:rPr>
          <w:b/>
          <w:color w:val="FF0000"/>
          <w:u w:val="single"/>
        </w:rPr>
        <w:t>vor avea voie</w:t>
      </w:r>
      <w:r w:rsidR="00B83A6B" w:rsidRPr="00B83A6B">
        <w:rPr>
          <w:b/>
          <w:color w:val="FF0000"/>
        </w:rPr>
        <w:t xml:space="preserve"> </w:t>
      </w:r>
      <w:r w:rsidR="00B83A6B" w:rsidRPr="00B83A6B">
        <w:rPr>
          <w:b/>
        </w:rPr>
        <w:t xml:space="preserve">în sala de concurs DOAR cu </w:t>
      </w:r>
      <w:r w:rsidR="00B83A6B" w:rsidRPr="00B83A6B">
        <w:rPr>
          <w:b/>
          <w:u w:val="single"/>
        </w:rPr>
        <w:t>documentul de identitate</w:t>
      </w:r>
      <w:r w:rsidR="00B83A6B" w:rsidRPr="00B83A6B">
        <w:rPr>
          <w:rFonts w:ascii="Arial" w:hAnsi="Arial" w:cs="Arial"/>
          <w:color w:val="4F4F4F"/>
          <w:sz w:val="21"/>
          <w:szCs w:val="21"/>
        </w:rPr>
        <w:t xml:space="preserve"> </w:t>
      </w:r>
      <w:r w:rsidR="00B83A6B" w:rsidRPr="00B83A6B">
        <w:rPr>
          <w:b/>
        </w:rPr>
        <w:t>valabil</w:t>
      </w:r>
      <w:r w:rsidR="00F93282">
        <w:rPr>
          <w:b/>
        </w:rPr>
        <w:t>, în original</w:t>
      </w:r>
      <w:r w:rsidR="007949A3">
        <w:rPr>
          <w:b/>
        </w:rPr>
        <w:t xml:space="preserve"> (carte de identitate</w:t>
      </w:r>
      <w:r w:rsidR="002E4354">
        <w:rPr>
          <w:b/>
        </w:rPr>
        <w:t>/</w:t>
      </w:r>
      <w:r w:rsidR="00FB50AC">
        <w:rPr>
          <w:b/>
        </w:rPr>
        <w:t xml:space="preserve"> permis de conducere </w:t>
      </w:r>
      <w:r w:rsidR="002E4354">
        <w:rPr>
          <w:b/>
        </w:rPr>
        <w:t>/</w:t>
      </w:r>
      <w:r w:rsidR="00B83A6B" w:rsidRPr="00B83A6B">
        <w:rPr>
          <w:b/>
        </w:rPr>
        <w:t xml:space="preserve"> paşaport</w:t>
      </w:r>
      <w:r w:rsidR="007949A3">
        <w:rPr>
          <w:b/>
        </w:rPr>
        <w:t xml:space="preserve"> în original</w:t>
      </w:r>
      <w:r w:rsidR="00B83A6B" w:rsidRPr="00B83A6B">
        <w:rPr>
          <w:b/>
        </w:rPr>
        <w:t>)</w:t>
      </w:r>
      <w:r w:rsidR="00B83A6B" w:rsidRPr="00B83A6B">
        <w:rPr>
          <w:b/>
          <w:u w:val="single"/>
        </w:rPr>
        <w:t xml:space="preserve"> și două pixuri/stilouri de culoare albastră (nu se permite schimbul de pixuri/stilouri între candidați</w:t>
      </w:r>
      <w:r w:rsidR="00C352F3">
        <w:rPr>
          <w:b/>
          <w:u w:val="single"/>
        </w:rPr>
        <w:t xml:space="preserve"> sau pixuri/stilouri de altă culoare</w:t>
      </w:r>
      <w:r w:rsidR="00E905A5">
        <w:rPr>
          <w:b/>
          <w:u w:val="single"/>
        </w:rPr>
        <w:t xml:space="preserve">, nu se admit pixuri/stilouri cu gumă de șters, cerneală care conține bisulfit de sodiu  care </w:t>
      </w:r>
      <w:r w:rsidR="00B83A6B" w:rsidRPr="00B83A6B">
        <w:rPr>
          <w:b/>
          <w:u w:val="single"/>
        </w:rPr>
        <w:t>permit ștergerea și rescrierea</w:t>
      </w:r>
    </w:p>
    <w:p w:rsidR="002F4CE4" w:rsidRDefault="002F4CE4" w:rsidP="00B83A6B">
      <w:pPr>
        <w:tabs>
          <w:tab w:val="left" w:pos="540"/>
        </w:tabs>
        <w:jc w:val="both"/>
        <w:rPr>
          <w:b/>
        </w:rPr>
      </w:pPr>
    </w:p>
    <w:p w:rsidR="005D30A3" w:rsidRDefault="002F4CE4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lastRenderedPageBreak/>
        <w:tab/>
      </w:r>
      <w:r w:rsidR="00B83A6B" w:rsidRPr="00B83A6B">
        <w:rPr>
          <w:b/>
        </w:rPr>
        <w:t xml:space="preserve">De asemenea, </w:t>
      </w:r>
      <w:r w:rsidR="00B83A6B" w:rsidRPr="00B83A6B">
        <w:rPr>
          <w:b/>
          <w:color w:val="FF0000"/>
          <w:u w:val="single"/>
        </w:rPr>
        <w:t xml:space="preserve">nu vor avea voie </w:t>
      </w:r>
      <w:r w:rsidR="00B83A6B" w:rsidRPr="00B83A6B">
        <w:rPr>
          <w:b/>
          <w:u w:val="single"/>
        </w:rPr>
        <w:t>cu materiale documentare, manuale, cărți, culegeri, formulare, rezumate, dicționare, notițe, însemnări,</w:t>
      </w:r>
      <w:r w:rsidR="00E905A5">
        <w:rPr>
          <w:b/>
          <w:u w:val="single"/>
        </w:rPr>
        <w:t xml:space="preserve"> altă hârtie în afara colilor distribuite de comisie,</w:t>
      </w:r>
      <w:r w:rsidR="00B83A6B" w:rsidRPr="00B83A6B">
        <w:rPr>
          <w:b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 (genți, borsete, plase, etc.)..</w:t>
      </w:r>
    </w:p>
    <w:p w:rsidR="002E4354" w:rsidRPr="008B4040" w:rsidRDefault="002E4354" w:rsidP="00B83A6B">
      <w:pPr>
        <w:tabs>
          <w:tab w:val="left" w:pos="540"/>
        </w:tabs>
        <w:jc w:val="both"/>
        <w:rPr>
          <w:b/>
          <w:u w:val="single"/>
        </w:rPr>
      </w:pPr>
    </w:p>
    <w:p w:rsidR="005D30A3" w:rsidRPr="00FA739B" w:rsidRDefault="005D30A3" w:rsidP="005D30A3">
      <w:pPr>
        <w:tabs>
          <w:tab w:val="left" w:pos="540"/>
        </w:tabs>
        <w:jc w:val="both"/>
      </w:pPr>
      <w:r w:rsidRPr="00CB04B5">
        <w:tab/>
      </w:r>
      <w:r w:rsidRPr="00FA739B">
        <w:t>Fraudele, precum şi tentativa de săvârşire a acestora se sancţionează prin eliminarea din concurs a candidatului/candidaţilor în cauză.</w:t>
      </w:r>
    </w:p>
    <w:p w:rsidR="005D30A3" w:rsidRPr="00FA739B" w:rsidRDefault="005D30A3" w:rsidP="002F4CE4">
      <w:pPr>
        <w:pStyle w:val="ListParagraph"/>
        <w:tabs>
          <w:tab w:val="left" w:pos="540"/>
        </w:tabs>
        <w:jc w:val="both"/>
      </w:pPr>
      <w:r w:rsidRPr="00FA739B">
        <w:t>Constituie fraude specifice probei scrise următoarele:</w:t>
      </w:r>
    </w:p>
    <w:p w:rsidR="005D30A3" w:rsidRPr="00FA739B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copiatul în orice formă;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obținerea răspunsului sub ori ce formă de la o altă persoană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distribuirea răspunsului altui candidat, sub orice formă</w:t>
      </w:r>
    </w:p>
    <w:p w:rsidR="00E905A5" w:rsidRPr="00FA739B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utilizarea altor coli de hârtie decât testele</w:t>
      </w:r>
      <w:r w:rsidR="00FA739B" w:rsidRPr="00FA739B">
        <w:t>, ciornele</w:t>
      </w:r>
      <w:r w:rsidRPr="00FA739B">
        <w:t xml:space="preserve"> și foile de răspuns distribuite de supraveghetori</w:t>
      </w:r>
    </w:p>
    <w:p w:rsidR="00E905A5" w:rsidRPr="00FA739B" w:rsidRDefault="00F93282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utiliza</w:t>
      </w:r>
      <w:r w:rsidR="00E905A5" w:rsidRPr="00FA739B">
        <w:t>rea oricăror mijloace de calcul/de comunicare sau a dispozitivelor cu ajutorul cărora s-ar putea frauda proba</w:t>
      </w:r>
      <w:r w:rsidR="00FA739B" w:rsidRPr="00FA739B">
        <w:t>.</w:t>
      </w:r>
    </w:p>
    <w:p w:rsidR="00FA739B" w:rsidRPr="00FA739B" w:rsidRDefault="00FA739B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FA739B">
        <w:t>orice altă situație care conduce la fraudarea probei</w:t>
      </w:r>
    </w:p>
    <w:p w:rsidR="00FA739B" w:rsidRDefault="00E905A5" w:rsidP="00E905A5">
      <w:pPr>
        <w:tabs>
          <w:tab w:val="left" w:pos="540"/>
          <w:tab w:val="left" w:pos="990"/>
        </w:tabs>
        <w:jc w:val="both"/>
        <w:rPr>
          <w:b/>
        </w:rPr>
      </w:pPr>
      <w:r w:rsidRPr="00FA739B">
        <w:tab/>
      </w:r>
      <w:r w:rsidRPr="00FA739B">
        <w:rPr>
          <w:b/>
        </w:rPr>
        <w:t>Fraudele prevăzute mai sus, precum și tentativa la săvârșirea acestora se sancționează de către responsabilul de sală prin eliminarea din concurs a candidatului vinovat</w:t>
      </w:r>
      <w:r w:rsidR="005D30A3" w:rsidRPr="00FA739B">
        <w:rPr>
          <w:b/>
        </w:rPr>
        <w:t>.</w:t>
      </w:r>
    </w:p>
    <w:p w:rsidR="00AE7DCD" w:rsidRPr="00FA739B" w:rsidRDefault="00CB04B5" w:rsidP="00E905A5">
      <w:pPr>
        <w:tabs>
          <w:tab w:val="left" w:pos="540"/>
          <w:tab w:val="left" w:pos="990"/>
        </w:tabs>
        <w:jc w:val="both"/>
        <w:rPr>
          <w:b/>
        </w:rPr>
      </w:pPr>
      <w:r w:rsidRPr="00FA739B">
        <w:rPr>
          <w:b/>
        </w:rPr>
        <w:tab/>
      </w:r>
      <w:r w:rsidR="00B35C69">
        <w:rPr>
          <w:b/>
        </w:rPr>
        <w:t xml:space="preserve">Listele cu rezultatele provizării la proba </w:t>
      </w:r>
      <w:r w:rsidR="00F5215F">
        <w:rPr>
          <w:b/>
        </w:rPr>
        <w:t>scrisă</w:t>
      </w:r>
      <w:r w:rsidR="00B35C69">
        <w:rPr>
          <w:b/>
        </w:rPr>
        <w:t xml:space="preserve"> vor fi public</w:t>
      </w:r>
      <w:r w:rsidR="00ED5793">
        <w:rPr>
          <w:b/>
        </w:rPr>
        <w:t>ate pe site-ul IPJ ARAD.</w:t>
      </w:r>
    </w:p>
    <w:p w:rsidR="00631843" w:rsidRDefault="00631843" w:rsidP="003D2D0D">
      <w:pPr>
        <w:rPr>
          <w:b/>
          <w:sz w:val="28"/>
          <w:szCs w:val="28"/>
        </w:rPr>
      </w:pPr>
    </w:p>
    <w:p w:rsidR="003F254C" w:rsidRDefault="003F254C" w:rsidP="003D2D0D">
      <w:pPr>
        <w:rPr>
          <w:b/>
          <w:sz w:val="28"/>
          <w:szCs w:val="28"/>
        </w:rPr>
      </w:pPr>
    </w:p>
    <w:p w:rsidR="00B35C69" w:rsidRDefault="003D2D0D" w:rsidP="00B35C69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D5793">
        <w:rPr>
          <w:b/>
          <w:sz w:val="28"/>
          <w:szCs w:val="28"/>
        </w:rPr>
        <w:t>DE CONCURS</w:t>
      </w:r>
    </w:p>
    <w:p w:rsidR="003F254C" w:rsidRDefault="003F254C" w:rsidP="00B35C69">
      <w:pPr>
        <w:ind w:left="360" w:firstLine="360"/>
        <w:jc w:val="center"/>
        <w:rPr>
          <w:b/>
          <w:sz w:val="28"/>
          <w:szCs w:val="28"/>
        </w:rPr>
      </w:pPr>
    </w:p>
    <w:p w:rsidR="00293EC0" w:rsidRDefault="00AE7DCD" w:rsidP="00B35C69">
      <w:pPr>
        <w:ind w:left="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125C7" w:rsidRDefault="003D2D0D" w:rsidP="00B35C69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DB0699" w:rsidRDefault="00DB0699" w:rsidP="00D11365">
      <w:pPr>
        <w:rPr>
          <w:b/>
          <w:sz w:val="28"/>
          <w:szCs w:val="28"/>
        </w:rPr>
      </w:pPr>
    </w:p>
    <w:p w:rsidR="00DB0699" w:rsidRDefault="00DB0699" w:rsidP="00D11365">
      <w:pPr>
        <w:rPr>
          <w:b/>
          <w:sz w:val="28"/>
          <w:szCs w:val="28"/>
        </w:rPr>
      </w:pPr>
    </w:p>
    <w:sectPr w:rsidR="00DB0699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1D" w:rsidRDefault="00880D1D" w:rsidP="00DE1743">
      <w:r>
        <w:separator/>
      </w:r>
    </w:p>
  </w:endnote>
  <w:endnote w:type="continuationSeparator" w:id="0">
    <w:p w:rsidR="00880D1D" w:rsidRDefault="00880D1D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C750E" w:rsidTr="00137FDB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AC750E" w:rsidRDefault="00AC750E" w:rsidP="00137FDB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C750E" w:rsidRDefault="00AC750E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str.Vîrful cu Dor  nr.17-21</w:t>
    </w:r>
  </w:p>
  <w:p w:rsidR="00AC750E" w:rsidRDefault="00AC750E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Tel.0257/207100 int. 20114  </w:t>
    </w:r>
  </w:p>
  <w:p w:rsidR="00AC750E" w:rsidRPr="00C8368D" w:rsidRDefault="00AC750E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Red. SRU/MLS    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1D" w:rsidRDefault="00880D1D" w:rsidP="00DE1743">
      <w:r>
        <w:separator/>
      </w:r>
    </w:p>
  </w:footnote>
  <w:footnote w:type="continuationSeparator" w:id="0">
    <w:p w:rsidR="00880D1D" w:rsidRDefault="00880D1D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7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29"/>
  </w:num>
  <w:num w:numId="14">
    <w:abstractNumId w:val="2"/>
  </w:num>
  <w:num w:numId="15">
    <w:abstractNumId w:val="21"/>
  </w:num>
  <w:num w:numId="16">
    <w:abstractNumId w:val="13"/>
  </w:num>
  <w:num w:numId="17">
    <w:abstractNumId w:val="27"/>
  </w:num>
  <w:num w:numId="18">
    <w:abstractNumId w:val="5"/>
  </w:num>
  <w:num w:numId="19">
    <w:abstractNumId w:val="4"/>
  </w:num>
  <w:num w:numId="20">
    <w:abstractNumId w:val="16"/>
  </w:num>
  <w:num w:numId="21">
    <w:abstractNumId w:val="23"/>
  </w:num>
  <w:num w:numId="22">
    <w:abstractNumId w:val="0"/>
  </w:num>
  <w:num w:numId="23">
    <w:abstractNumId w:val="17"/>
  </w:num>
  <w:num w:numId="24">
    <w:abstractNumId w:val="10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6"/>
  </w:num>
  <w:num w:numId="30">
    <w:abstractNumId w:val="7"/>
  </w:num>
  <w:num w:numId="31">
    <w:abstractNumId w:val="18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5406F"/>
    <w:rsid w:val="00076C80"/>
    <w:rsid w:val="00093757"/>
    <w:rsid w:val="00097EF1"/>
    <w:rsid w:val="000D3473"/>
    <w:rsid w:val="000D7CF8"/>
    <w:rsid w:val="000F045A"/>
    <w:rsid w:val="00111F75"/>
    <w:rsid w:val="00117F71"/>
    <w:rsid w:val="00137FDB"/>
    <w:rsid w:val="00150DE2"/>
    <w:rsid w:val="001532A2"/>
    <w:rsid w:val="001655EC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C3424"/>
    <w:rsid w:val="002E407F"/>
    <w:rsid w:val="002E4354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B3EBD"/>
    <w:rsid w:val="003D2D0D"/>
    <w:rsid w:val="003D6322"/>
    <w:rsid w:val="003D6D13"/>
    <w:rsid w:val="003E235D"/>
    <w:rsid w:val="003F229D"/>
    <w:rsid w:val="003F254C"/>
    <w:rsid w:val="003F6D7A"/>
    <w:rsid w:val="004119DD"/>
    <w:rsid w:val="004311E9"/>
    <w:rsid w:val="004403A7"/>
    <w:rsid w:val="00453776"/>
    <w:rsid w:val="00455C0A"/>
    <w:rsid w:val="00475A7D"/>
    <w:rsid w:val="004764A1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70D0B"/>
    <w:rsid w:val="00672A80"/>
    <w:rsid w:val="00674795"/>
    <w:rsid w:val="006747F5"/>
    <w:rsid w:val="00683FB5"/>
    <w:rsid w:val="0068717D"/>
    <w:rsid w:val="006A1637"/>
    <w:rsid w:val="006A31A6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775A"/>
    <w:rsid w:val="007949A3"/>
    <w:rsid w:val="00796785"/>
    <w:rsid w:val="007C376E"/>
    <w:rsid w:val="007D4FD1"/>
    <w:rsid w:val="007E1F7B"/>
    <w:rsid w:val="007E5194"/>
    <w:rsid w:val="00804A11"/>
    <w:rsid w:val="0080692E"/>
    <w:rsid w:val="00812019"/>
    <w:rsid w:val="00822675"/>
    <w:rsid w:val="008239B3"/>
    <w:rsid w:val="00845A3D"/>
    <w:rsid w:val="00854A5F"/>
    <w:rsid w:val="00857309"/>
    <w:rsid w:val="00877E70"/>
    <w:rsid w:val="00880D1D"/>
    <w:rsid w:val="008A416B"/>
    <w:rsid w:val="008B1802"/>
    <w:rsid w:val="008B4040"/>
    <w:rsid w:val="008B7614"/>
    <w:rsid w:val="008C7668"/>
    <w:rsid w:val="008D2CD2"/>
    <w:rsid w:val="008E7C56"/>
    <w:rsid w:val="008F53B1"/>
    <w:rsid w:val="008F5745"/>
    <w:rsid w:val="008F7A8F"/>
    <w:rsid w:val="008F7AF2"/>
    <w:rsid w:val="009369A1"/>
    <w:rsid w:val="00944D5A"/>
    <w:rsid w:val="0096194F"/>
    <w:rsid w:val="00976D7C"/>
    <w:rsid w:val="009826BA"/>
    <w:rsid w:val="009A37A1"/>
    <w:rsid w:val="009A6233"/>
    <w:rsid w:val="009C260D"/>
    <w:rsid w:val="009C5BF3"/>
    <w:rsid w:val="009C71B0"/>
    <w:rsid w:val="009D599E"/>
    <w:rsid w:val="009E6331"/>
    <w:rsid w:val="009E75FC"/>
    <w:rsid w:val="009F07D8"/>
    <w:rsid w:val="00A00195"/>
    <w:rsid w:val="00A031A3"/>
    <w:rsid w:val="00A10961"/>
    <w:rsid w:val="00A10D76"/>
    <w:rsid w:val="00A159A9"/>
    <w:rsid w:val="00A21115"/>
    <w:rsid w:val="00A2761D"/>
    <w:rsid w:val="00A409D6"/>
    <w:rsid w:val="00A42AA0"/>
    <w:rsid w:val="00A515BC"/>
    <w:rsid w:val="00A71FDC"/>
    <w:rsid w:val="00A82A86"/>
    <w:rsid w:val="00A90588"/>
    <w:rsid w:val="00AA7EC3"/>
    <w:rsid w:val="00AB4650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35C69"/>
    <w:rsid w:val="00B41A30"/>
    <w:rsid w:val="00B470DA"/>
    <w:rsid w:val="00B5028C"/>
    <w:rsid w:val="00B53A95"/>
    <w:rsid w:val="00B609FC"/>
    <w:rsid w:val="00B83A6B"/>
    <w:rsid w:val="00B84D68"/>
    <w:rsid w:val="00B85077"/>
    <w:rsid w:val="00B870CB"/>
    <w:rsid w:val="00B977DC"/>
    <w:rsid w:val="00BA5603"/>
    <w:rsid w:val="00BB54E2"/>
    <w:rsid w:val="00BD3EAC"/>
    <w:rsid w:val="00BD6414"/>
    <w:rsid w:val="00BD7C9C"/>
    <w:rsid w:val="00C05542"/>
    <w:rsid w:val="00C125C7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E2D99"/>
    <w:rsid w:val="00CE385E"/>
    <w:rsid w:val="00CE4DF2"/>
    <w:rsid w:val="00CE6AAB"/>
    <w:rsid w:val="00D11365"/>
    <w:rsid w:val="00D2491D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0699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12098"/>
    <w:rsid w:val="00E15903"/>
    <w:rsid w:val="00E24C37"/>
    <w:rsid w:val="00E30F5D"/>
    <w:rsid w:val="00E44950"/>
    <w:rsid w:val="00E44B64"/>
    <w:rsid w:val="00E60006"/>
    <w:rsid w:val="00E624D5"/>
    <w:rsid w:val="00E73357"/>
    <w:rsid w:val="00E8147F"/>
    <w:rsid w:val="00E905A5"/>
    <w:rsid w:val="00ED5793"/>
    <w:rsid w:val="00EE65B1"/>
    <w:rsid w:val="00F05FCC"/>
    <w:rsid w:val="00F14F2D"/>
    <w:rsid w:val="00F16E53"/>
    <w:rsid w:val="00F202FB"/>
    <w:rsid w:val="00F42001"/>
    <w:rsid w:val="00F43FDC"/>
    <w:rsid w:val="00F46563"/>
    <w:rsid w:val="00F5215F"/>
    <w:rsid w:val="00F636BA"/>
    <w:rsid w:val="00F65103"/>
    <w:rsid w:val="00F7036F"/>
    <w:rsid w:val="00F709E1"/>
    <w:rsid w:val="00F93282"/>
    <w:rsid w:val="00FA4B6D"/>
    <w:rsid w:val="00FA739B"/>
    <w:rsid w:val="00FB0E7D"/>
    <w:rsid w:val="00FB50AC"/>
    <w:rsid w:val="00FC22DA"/>
    <w:rsid w:val="00FE1BFD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9D24-8792-4EB3-A682-779C2B91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3</cp:revision>
  <cp:lastPrinted>2022-08-31T12:55:00Z</cp:lastPrinted>
  <dcterms:created xsi:type="dcterms:W3CDTF">2022-08-31T12:55:00Z</dcterms:created>
  <dcterms:modified xsi:type="dcterms:W3CDTF">2022-08-31T13:08:00Z</dcterms:modified>
</cp:coreProperties>
</file>