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236"/>
        <w:tblW w:w="10548" w:type="dxa"/>
        <w:tblLook w:val="01E0" w:firstRow="1" w:lastRow="1" w:firstColumn="1" w:lastColumn="1" w:noHBand="0" w:noVBand="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1A1101" w:rsidRPr="00BE0743" w:rsidRDefault="001A1101" w:rsidP="001A1101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</w:p>
        </w:tc>
        <w:tc>
          <w:tcPr>
            <w:tcW w:w="5310" w:type="dxa"/>
            <w:shd w:val="clear" w:color="auto" w:fill="auto"/>
          </w:tcPr>
          <w:p w:rsidR="00434778" w:rsidRPr="00BE0743" w:rsidRDefault="00434778" w:rsidP="00CC137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946E9" w:rsidRPr="00BE0743" w:rsidRDefault="00ED0132" w:rsidP="00B93FBE">
      <w:pPr>
        <w:rPr>
          <w:color w:val="FF0000"/>
        </w:rPr>
      </w:pPr>
      <w:r w:rsidRPr="00BE0743">
        <w:t xml:space="preserve">         </w:t>
      </w:r>
      <w:r w:rsidR="00662A3D" w:rsidRPr="00BE0743">
        <w:t xml:space="preserve">                              </w:t>
      </w:r>
    </w:p>
    <w:p w:rsidR="00FA7B7C" w:rsidRDefault="00FA7B7C" w:rsidP="00FA7B7C">
      <w:pPr>
        <w:jc w:val="center"/>
        <w:rPr>
          <w:rFonts w:eastAsia="Times New Roman"/>
          <w:b/>
          <w:color w:val="000000"/>
        </w:rPr>
      </w:pPr>
      <w:r w:rsidRPr="00BE0743">
        <w:rPr>
          <w:rFonts w:eastAsia="Times New Roman"/>
          <w:b/>
          <w:color w:val="000000"/>
        </w:rPr>
        <w:t>TEMATICA  ȘI  BIBLIOGRAFIA</w:t>
      </w:r>
    </w:p>
    <w:p w:rsidR="005A6ADD" w:rsidRDefault="001A1101" w:rsidP="001A1101">
      <w:pPr>
        <w:jc w:val="center"/>
      </w:pPr>
      <w:r w:rsidRPr="00E97D12">
        <w:t xml:space="preserve">pentru ocuparea </w:t>
      </w:r>
      <w:r w:rsidRPr="005A6ADD">
        <w:t>posturilor</w:t>
      </w:r>
      <w:r w:rsidR="009057FD">
        <w:t xml:space="preserve"> </w:t>
      </w:r>
      <w:r w:rsidRPr="005A6ADD">
        <w:t xml:space="preserve">de </w:t>
      </w:r>
      <w:r w:rsidR="005A6ADD" w:rsidRPr="009057FD">
        <w:rPr>
          <w:b/>
        </w:rPr>
        <w:t>ofiţer</w:t>
      </w:r>
      <w:r w:rsidR="009057FD">
        <w:rPr>
          <w:b/>
        </w:rPr>
        <w:t xml:space="preserve"> </w:t>
      </w:r>
      <w:r w:rsidR="00D6565C" w:rsidRPr="005A6ADD">
        <w:t xml:space="preserve">din cadrul </w:t>
      </w:r>
      <w:r w:rsidR="005A6ADD" w:rsidRPr="005A6ADD">
        <w:t xml:space="preserve">structurilor de </w:t>
      </w:r>
      <w:r w:rsidR="005A6ADD" w:rsidRPr="009057FD">
        <w:rPr>
          <w:b/>
        </w:rPr>
        <w:t>pregătire profesională</w:t>
      </w:r>
      <w:r w:rsidR="005A6ADD" w:rsidRPr="00BE0743">
        <w:t>,</w:t>
      </w:r>
      <w:r w:rsidR="005A6ADD">
        <w:t xml:space="preserve"> </w:t>
      </w:r>
    </w:p>
    <w:p w:rsidR="005A6ADD" w:rsidRDefault="005A6ADD" w:rsidP="001A1101">
      <w:pPr>
        <w:jc w:val="center"/>
      </w:pPr>
      <w:r w:rsidRPr="007A5B8A">
        <w:t xml:space="preserve">specialitatea </w:t>
      </w:r>
      <w:r w:rsidRPr="009057FD">
        <w:rPr>
          <w:b/>
        </w:rPr>
        <w:t>conducere auto în regim</w:t>
      </w:r>
      <w:r w:rsidR="00F1128D">
        <w:rPr>
          <w:b/>
        </w:rPr>
        <w:t xml:space="preserve"> prioritar şi </w:t>
      </w:r>
      <w:r w:rsidRPr="009057FD">
        <w:rPr>
          <w:b/>
        </w:rPr>
        <w:t xml:space="preserve"> defensiv</w:t>
      </w:r>
      <w:r w:rsidRPr="00C71B4B">
        <w:t xml:space="preserve"> </w:t>
      </w:r>
    </w:p>
    <w:p w:rsidR="001A1101" w:rsidRPr="005A6ADD" w:rsidRDefault="001A1101" w:rsidP="005A6ADD">
      <w:pPr>
        <w:jc w:val="center"/>
      </w:pPr>
      <w:r w:rsidRPr="007A5B8A">
        <w:t>prin încadrare</w:t>
      </w:r>
      <w:r w:rsidRPr="00BE0743">
        <w:t xml:space="preserve"> directă din sursă externă a persoanelor cu studii corespunzătoare cerinţelor postului şi care îndeplinesc condiţiile legale</w:t>
      </w:r>
    </w:p>
    <w:p w:rsidR="00FA7B7C" w:rsidRPr="00BE0743" w:rsidRDefault="00FA7B7C" w:rsidP="00E2639F">
      <w:pPr>
        <w:jc w:val="center"/>
        <w:rPr>
          <w:rFonts w:eastAsia="Times New Roman"/>
          <w:i/>
          <w:color w:val="000000"/>
        </w:rPr>
      </w:pPr>
    </w:p>
    <w:p w:rsidR="00B93FBE" w:rsidRPr="00520ED5" w:rsidRDefault="00B93FBE" w:rsidP="00B93FBE">
      <w:pPr>
        <w:tabs>
          <w:tab w:val="left" w:pos="284"/>
        </w:tabs>
        <w:rPr>
          <w:b/>
          <w:sz w:val="26"/>
          <w:szCs w:val="26"/>
        </w:rPr>
      </w:pPr>
      <w:r w:rsidRPr="00520ED5">
        <w:rPr>
          <w:b/>
          <w:sz w:val="26"/>
          <w:szCs w:val="26"/>
          <w:u w:val="single"/>
        </w:rPr>
        <w:t>Tematica generală:</w:t>
      </w:r>
      <w:r w:rsidRPr="00520ED5">
        <w:rPr>
          <w:b/>
          <w:sz w:val="26"/>
          <w:szCs w:val="26"/>
        </w:rPr>
        <w:tab/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sz w:val="26"/>
          <w:szCs w:val="26"/>
          <w:lang w:val="en-US"/>
        </w:rPr>
      </w:pPr>
      <w:r w:rsidRPr="00520ED5">
        <w:rPr>
          <w:rFonts w:eastAsia="Calibri"/>
          <w:sz w:val="26"/>
          <w:szCs w:val="26"/>
        </w:rPr>
        <w:t>Principii generale; Drepturile, libertățile și îndatoririle fundamentale;</w:t>
      </w:r>
      <w:r w:rsidRPr="00520ED5">
        <w:rPr>
          <w:sz w:val="26"/>
          <w:szCs w:val="26"/>
        </w:rPr>
        <w:t xml:space="preserve"> </w:t>
      </w:r>
      <w:r w:rsidRPr="00520ED5">
        <w:rPr>
          <w:rFonts w:eastAsia="Calibri"/>
          <w:sz w:val="26"/>
          <w:szCs w:val="26"/>
        </w:rPr>
        <w:t xml:space="preserve">Autoritățile publice - </w:t>
      </w:r>
      <w:r w:rsidRPr="00520ED5">
        <w:rPr>
          <w:sz w:val="26"/>
          <w:szCs w:val="26"/>
          <w:lang w:eastAsia="ro-RO"/>
        </w:rPr>
        <w:t xml:space="preserve">(Titlul I; Titlul II; Titlul III, toate integral din </w:t>
      </w:r>
      <w:r w:rsidRPr="00520ED5">
        <w:rPr>
          <w:rFonts w:eastAsia="Calibri"/>
          <w:sz w:val="26"/>
          <w:szCs w:val="26"/>
        </w:rPr>
        <w:t>Constituția României);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  <w:lang w:eastAsia="ro-RO"/>
        </w:rPr>
        <w:t>Organizarea și funcționarea Poliției Române</w:t>
      </w:r>
      <w:r w:rsidRPr="00520ED5">
        <w:rPr>
          <w:rFonts w:eastAsia="Calibri"/>
          <w:sz w:val="26"/>
          <w:szCs w:val="26"/>
        </w:rPr>
        <w:t xml:space="preserve"> </w:t>
      </w:r>
      <w:r w:rsidRPr="00520ED5">
        <w:rPr>
          <w:sz w:val="26"/>
          <w:szCs w:val="26"/>
        </w:rPr>
        <w:t>(</w:t>
      </w:r>
      <w:r w:rsidRPr="00520ED5">
        <w:rPr>
          <w:sz w:val="26"/>
          <w:szCs w:val="26"/>
          <w:lang w:eastAsia="ro-RO"/>
        </w:rPr>
        <w:t>Legea nr. 218 din 23.04.2002 (republicată) privind organizarea și funcționarea Poliției Române</w:t>
      </w:r>
      <w:r w:rsidRPr="00520ED5">
        <w:rPr>
          <w:sz w:val="26"/>
          <w:szCs w:val="26"/>
        </w:rPr>
        <w:t>, integral</w:t>
      </w:r>
      <w:r w:rsidRPr="00520ED5">
        <w:rPr>
          <w:bCs/>
          <w:sz w:val="26"/>
          <w:szCs w:val="26"/>
        </w:rPr>
        <w:t>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rFonts w:eastAsia="Calibri"/>
          <w:sz w:val="26"/>
          <w:szCs w:val="26"/>
        </w:rPr>
        <w:t>Statutul polițistului</w:t>
      </w:r>
      <w:r w:rsidRPr="00520ED5">
        <w:rPr>
          <w:sz w:val="26"/>
          <w:szCs w:val="26"/>
        </w:rPr>
        <w:t xml:space="preserve"> (</w:t>
      </w:r>
      <w:r w:rsidRPr="00520ED5">
        <w:rPr>
          <w:sz w:val="26"/>
          <w:szCs w:val="26"/>
          <w:lang w:eastAsia="ro-RO"/>
        </w:rPr>
        <w:t>Legea nr. 360 din 06.06.2002 privind Statutul Polițistului</w:t>
      </w:r>
      <w:r w:rsidRPr="00520ED5">
        <w:rPr>
          <w:sz w:val="26"/>
          <w:szCs w:val="26"/>
        </w:rPr>
        <w:t>, integral).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bCs/>
          <w:sz w:val="26"/>
          <w:szCs w:val="26"/>
        </w:rPr>
        <w:t>Acordarea recompenselor și răspunderea disciplinară a polițiștilor (Normele de aplicare a cap. IV din Legea nr. 360/2002 privind Statutul polițistului, referitoare la acordarea recompenselor și răspunderea disciplinară a polițiștilor  aprobate prin H.G. nr. 725/2015, integral);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Activitățile de analiză a postului și de întocmire a fișei postului (Anexa nr. 1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Acordarea gradelor profesionale. Avansarea în gradul profesional următor, precum şi încadrarea în funcții (Anexa nr. 6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Evaluarea de serviciu a polițiștilor (Anexa nr. 8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>Codul de etică și deontologie al polițistului (</w:t>
      </w:r>
      <w:r w:rsidRPr="00520ED5">
        <w:rPr>
          <w:sz w:val="26"/>
          <w:szCs w:val="26"/>
          <w:lang w:eastAsia="ro-RO"/>
        </w:rPr>
        <w:t>Hotărârea Guvernului nr. 991 din 25.08.2005 pentru aprobarea Codului de etică și deontologie al polițistului</w:t>
      </w:r>
      <w:r w:rsidRPr="00520ED5">
        <w:rPr>
          <w:sz w:val="26"/>
          <w:szCs w:val="26"/>
        </w:rPr>
        <w:t>, integral);</w:t>
      </w:r>
    </w:p>
    <w:p w:rsidR="00B93FBE" w:rsidRPr="00A20830" w:rsidRDefault="00B93FBE" w:rsidP="00B93FBE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sz w:val="26"/>
          <w:szCs w:val="26"/>
        </w:rPr>
      </w:pPr>
      <w:r w:rsidRPr="00520ED5">
        <w:rPr>
          <w:sz w:val="26"/>
          <w:szCs w:val="26"/>
        </w:rPr>
        <w:t>Protecţia informaţiilor clasificate (</w:t>
      </w:r>
      <w:r w:rsidRPr="00A20830">
        <w:rPr>
          <w:bCs/>
        </w:rPr>
        <w:t xml:space="preserve">Legea nr. 182 din 12 aprilie 2002, </w:t>
      </w:r>
      <w:r w:rsidRPr="00520ED5">
        <w:rPr>
          <w:sz w:val="26"/>
          <w:szCs w:val="26"/>
        </w:rPr>
        <w:t xml:space="preserve">integral). 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Clasificarea informațiilor (Capitolul 2 - Secțiunea 1,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Declasificarea și trecerea informațiilor clasificate la un nivel inferior de secretizare (Capitolul 2 - Secțiunea a-2-a,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 xml:space="preserve">Reguli generale privind evidența, întocmirea, păstrarea, procesarea, multiplicarea, manipularea, transportul, transmiterea și distrugerea informațiilor clasificate (Capitolul 3 - integral din Anexa 1 la </w:t>
      </w: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</w:t>
      </w:r>
      <w:r w:rsidRPr="00520ED5">
        <w:rPr>
          <w:sz w:val="26"/>
          <w:szCs w:val="26"/>
        </w:rPr>
        <w:t>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t>Activitatea de soluționare a petițiilor, primire în audiență și consiliere a cetățenilor în Ministerul Afacerilor Interne (Ordonanța Guvernului nr. 27 din 30 ianuarie 2002, integral și Ordinul ministrului afacerilor interne nr. 33</w:t>
      </w:r>
      <w:r w:rsidRPr="00520ED5">
        <w:rPr>
          <w:rFonts w:ascii="Arial" w:hAnsi="Arial" w:cs="Arial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</w:rPr>
        <w:t>din 21 februarie 2020 privind activitățile de soluționare a petițiilor, primire în audiență și consiliere a cetățenilor În Ministerul Afacerilor Interne, integral</w:t>
      </w:r>
      <w:r w:rsidRPr="00520ED5">
        <w:rPr>
          <w:sz w:val="26"/>
          <w:szCs w:val="26"/>
        </w:rPr>
        <w:t>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bCs/>
          <w:sz w:val="26"/>
          <w:szCs w:val="26"/>
        </w:rPr>
        <w:t>Organizarea şi executarea controalelor în Ministerul Afacerilor Interne (</w:t>
      </w:r>
      <w:r w:rsidRPr="00520ED5">
        <w:rPr>
          <w:sz w:val="26"/>
          <w:szCs w:val="26"/>
        </w:rPr>
        <w:t>Ordinul ministrului afacerilor interne nr.</w:t>
      </w:r>
      <w:r w:rsidRPr="00520ED5">
        <w:rPr>
          <w:rFonts w:ascii="Verdana" w:hAnsi="Verdana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  <w:shd w:val="clear" w:color="auto" w:fill="FFFFFF"/>
        </w:rPr>
        <w:t xml:space="preserve">138 din 2 septembrie 2016, </w:t>
      </w:r>
      <w:r w:rsidRPr="00520ED5">
        <w:rPr>
          <w:bCs/>
          <w:sz w:val="26"/>
          <w:szCs w:val="26"/>
        </w:rPr>
        <w:t>integral);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540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Instruirea lucrătorilor în domeniul securității și sănătății în muncă (Cap. V - integral din Hotărârea nr. 1.425 din 11 octombrie 2006 pentru aprobarea Normelor metodologice de aplicare a prevederilor Legii securității și sănătății în muncă nr. 319/2006;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  <w:tab w:val="left" w:pos="540"/>
        </w:tabs>
        <w:suppressAutoHyphens/>
        <w:autoSpaceDN w:val="0"/>
        <w:ind w:left="0" w:firstLine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  <w:r w:rsidRPr="00520ED5">
        <w:rPr>
          <w:sz w:val="26"/>
          <w:szCs w:val="26"/>
        </w:rPr>
        <w:lastRenderedPageBreak/>
        <w:t>Conflictul de interese. Incompatibilități (TITLUL IV, Cap. II și III, toate integral din</w:t>
      </w:r>
      <w:r w:rsidRPr="00520ED5">
        <w:rPr>
          <w:bCs/>
          <w:sz w:val="26"/>
          <w:szCs w:val="26"/>
        </w:rPr>
        <w:t xml:space="preserve"> Legea nr. 161 din 19 aprilie 2003 </w:t>
      </w:r>
      <w:r w:rsidRPr="00520ED5">
        <w:rPr>
          <w:sz w:val="26"/>
          <w:szCs w:val="26"/>
        </w:rPr>
        <w:t>privind unele măsuri pentru asigurarea transparenței în exercitarea demnităților publice, a funcțiilor publice şi în mediul de afaceri, prevenirea și sancționarea corupției).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540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 xml:space="preserve">Percheziția domiciliară. Alte forme de percheziție </w:t>
      </w:r>
      <w:r w:rsidRPr="00520ED5">
        <w:rPr>
          <w:rFonts w:ascii="Calibri" w:eastAsia="Calibri" w:hAnsi="Calibri"/>
          <w:sz w:val="26"/>
          <w:szCs w:val="26"/>
          <w:lang w:val="en-US"/>
        </w:rPr>
        <w:t>(</w:t>
      </w:r>
      <w:r w:rsidRPr="00520ED5">
        <w:rPr>
          <w:sz w:val="26"/>
          <w:szCs w:val="26"/>
        </w:rPr>
        <w:t>TITLUL IV, Cap. IV – Secțiunea 1 și Secțiunea 2, toate integral din Legea 135/2010 privind Codul de Procedură Penală cu modificările și completările ulterioare).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</w:rPr>
        <w:t>Cauzele justificative (art. 18-22) și cauzele de neimputabilitate (art. 23-31 ) din</w:t>
      </w:r>
      <w:r w:rsidRPr="00520ED5">
        <w:rPr>
          <w:b/>
          <w:sz w:val="26"/>
          <w:szCs w:val="26"/>
        </w:rPr>
        <w:t xml:space="preserve"> </w:t>
      </w:r>
      <w:r w:rsidRPr="00520ED5">
        <w:rPr>
          <w:sz w:val="26"/>
          <w:szCs w:val="26"/>
        </w:rPr>
        <w:t xml:space="preserve">Legea 286/2009 privind Codul Penal , cu modificările și completările ulterioare </w:t>
      </w:r>
      <w:r w:rsidRPr="00520ED5">
        <w:rPr>
          <w:b/>
          <w:sz w:val="26"/>
          <w:szCs w:val="26"/>
        </w:rPr>
        <w:t>-</w:t>
      </w:r>
      <w:r w:rsidRPr="00520ED5">
        <w:rPr>
          <w:sz w:val="26"/>
          <w:szCs w:val="26"/>
        </w:rPr>
        <w:t xml:space="preserve"> Partea generală;</w:t>
      </w:r>
    </w:p>
    <w:p w:rsidR="00B93FBE" w:rsidRPr="00520ED5" w:rsidRDefault="00B93FBE" w:rsidP="00B93FBE">
      <w:pPr>
        <w:tabs>
          <w:tab w:val="left" w:pos="-6570"/>
          <w:tab w:val="left" w:pos="284"/>
        </w:tabs>
        <w:suppressAutoHyphens/>
        <w:autoSpaceDN w:val="0"/>
        <w:jc w:val="both"/>
        <w:textAlignment w:val="baseline"/>
        <w:rPr>
          <w:rFonts w:ascii="Calibri" w:eastAsia="Calibri" w:hAnsi="Calibri"/>
          <w:sz w:val="26"/>
          <w:szCs w:val="26"/>
          <w:lang w:val="en-US"/>
        </w:rPr>
      </w:pPr>
    </w:p>
    <w:p w:rsidR="00B93FBE" w:rsidRPr="00520ED5" w:rsidRDefault="00B93FBE" w:rsidP="00BF6694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t>Bibliografie generală: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Constituția României din 21.11.1991 (republicată), cu toate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Legea nr. 218 din 23.04.2002 (republicată) privind organizarea și funcționarea Poliției Române, cu toate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  <w:lang w:eastAsia="ro-RO"/>
        </w:rPr>
        <w:t>Legea nr. 360 din 06.06.2002 privind Statutul Polițistului, cu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 xml:space="preserve">Hotărârea Guvernului nr. </w:t>
      </w:r>
      <w:r w:rsidRPr="00520ED5">
        <w:rPr>
          <w:bCs/>
          <w:sz w:val="26"/>
          <w:szCs w:val="26"/>
        </w:rPr>
        <w:t>725/2015 pentru stabilirea normelor de aplicare a cap. IV din Legea nr. 360/2002 privind Statutul polițistului, referitoare la acordarea recompenselor și răspunderea disciplinară a polițiștilor,</w:t>
      </w:r>
      <w:r w:rsidRPr="00520ED5">
        <w:rPr>
          <w:sz w:val="26"/>
          <w:szCs w:val="26"/>
        </w:rPr>
        <w:t xml:space="preserve"> cu modificările și completările ulterioare</w:t>
      </w:r>
      <w:r w:rsidRPr="00520ED5">
        <w:rPr>
          <w:bCs/>
          <w:sz w:val="26"/>
          <w:szCs w:val="26"/>
        </w:rPr>
        <w:t>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</w:t>
      </w:r>
      <w:r w:rsidRPr="00520ED5">
        <w:rPr>
          <w:sz w:val="26"/>
          <w:szCs w:val="26"/>
          <w:lang w:eastAsia="ro-RO"/>
        </w:rPr>
        <w:t>, cu toate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>Hotărârea Guvernului nr. 991 din 25.08.2005 pentru aprobarea Codului de etică și deontologie al polițistului, cu toate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Legea nr. 182 din 12.04.2002 privind protecția informațiilor clasificate, cu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Hotărârea Guvernului nr. 585 din 13.06.2002 pentru aprobarea Standardelor naționale de protecție a informațiilor clasificate în România, cu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Ordonanța Guvernului nr. 27 din 30 ianuarie 2002 privind reglementarea activității de soluționare a petițiilor, cu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 xml:space="preserve">Ordinul nr. 33 din 21.02.2020, emis de Ministerul Afacerilor Interne, privind activitățile de soluționare a petițiilor, primire în audiență și consiliere a cetățenilor în Ministerul Afacerilor Interne, </w:t>
      </w:r>
      <w:r w:rsidRPr="00520ED5">
        <w:rPr>
          <w:rFonts w:eastAsia="Calibri"/>
          <w:sz w:val="26"/>
          <w:szCs w:val="26"/>
        </w:rPr>
        <w:t>cu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Ordinul ministrului afacerilor interne nr.</w:t>
      </w:r>
      <w:r w:rsidRPr="00520ED5">
        <w:rPr>
          <w:rFonts w:ascii="Verdana" w:hAnsi="Verdana"/>
          <w:bCs/>
          <w:sz w:val="26"/>
          <w:szCs w:val="26"/>
          <w:shd w:val="clear" w:color="auto" w:fill="FFFFFF"/>
        </w:rPr>
        <w:t xml:space="preserve"> </w:t>
      </w:r>
      <w:r w:rsidRPr="00520ED5">
        <w:rPr>
          <w:bCs/>
          <w:sz w:val="26"/>
          <w:szCs w:val="26"/>
          <w:shd w:val="clear" w:color="auto" w:fill="FFFFFF"/>
        </w:rPr>
        <w:t xml:space="preserve">138 din 2 septembrie 2016 </w:t>
      </w:r>
      <w:r w:rsidRPr="00520ED5">
        <w:rPr>
          <w:bCs/>
          <w:sz w:val="26"/>
          <w:szCs w:val="26"/>
        </w:rPr>
        <w:t>privind organizarea şi executarea controalelor în Ministerul Afacerilor Interne,</w:t>
      </w:r>
      <w:r w:rsidRPr="00520ED5">
        <w:rPr>
          <w:sz w:val="26"/>
          <w:szCs w:val="26"/>
        </w:rPr>
        <w:t xml:space="preserve"> cu modificările și completările ulterioare</w:t>
      </w:r>
      <w:r w:rsidRPr="00520ED5">
        <w:rPr>
          <w:bCs/>
          <w:sz w:val="26"/>
          <w:szCs w:val="26"/>
        </w:rPr>
        <w:t>.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>Hotărârea nr. 1.425 din 11 octombrie 2006 pentru aprobarea Normelor metodologice de aplicare a prevederilor Legii securității și sănătății în muncă nr. 319/2006;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</w:rPr>
        <w:t xml:space="preserve"> </w:t>
      </w:r>
      <w:r w:rsidRPr="00520ED5">
        <w:rPr>
          <w:bCs/>
          <w:sz w:val="26"/>
          <w:szCs w:val="26"/>
        </w:rPr>
        <w:t xml:space="preserve">Legea nr. 161 din 19 aprilie 2003 </w:t>
      </w:r>
      <w:r w:rsidRPr="00520ED5">
        <w:rPr>
          <w:sz w:val="26"/>
          <w:szCs w:val="26"/>
        </w:rPr>
        <w:t xml:space="preserve">privind unele măsuri pentru asigurarea transparenței în exercitarea demnităților publice, a funcțiilor publice şi în mediul de afaceri, prevenirea şi sancționarea corupției, </w:t>
      </w:r>
      <w:r w:rsidRPr="00520ED5">
        <w:rPr>
          <w:rFonts w:eastAsia="Verdana"/>
          <w:sz w:val="26"/>
          <w:szCs w:val="26"/>
        </w:rPr>
        <w:t>cu modificările și completările ulterioare.</w:t>
      </w:r>
    </w:p>
    <w:p w:rsidR="00B93FBE" w:rsidRPr="00520ED5" w:rsidRDefault="00B93FBE" w:rsidP="00B93FBE">
      <w:pPr>
        <w:pStyle w:val="NormalWeb"/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en-US"/>
        </w:rPr>
      </w:pPr>
      <w:r w:rsidRPr="00520ED5">
        <w:rPr>
          <w:sz w:val="26"/>
          <w:szCs w:val="26"/>
          <w:lang w:eastAsia="en-US"/>
        </w:rPr>
        <w:t>Legea 135/2010 privind Codul de Procedură Penală cu modificările și completările ulterioare.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>Legea 286/2009 privind Codul Penal, cu modificările și completările ulterioare;</w:t>
      </w:r>
    </w:p>
    <w:p w:rsidR="00B93FBE" w:rsidRPr="00520ED5" w:rsidRDefault="00B93FBE" w:rsidP="00B93FBE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</w:p>
    <w:p w:rsidR="00B93FBE" w:rsidRPr="00520ED5" w:rsidRDefault="00B93FBE" w:rsidP="00BF6694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t>Tematică specifică: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  <w:shd w:val="clear" w:color="auto" w:fill="FFFFFF"/>
        </w:rPr>
        <w:lastRenderedPageBreak/>
        <w:t>Formarea profesională a polițiștilor (</w:t>
      </w:r>
      <w:r w:rsidRPr="00520ED5">
        <w:rPr>
          <w:bCs/>
          <w:sz w:val="26"/>
          <w:szCs w:val="26"/>
          <w:shd w:val="clear" w:color="auto" w:fill="FFFFFF"/>
        </w:rPr>
        <w:t>Anexa nr. 4</w:t>
      </w:r>
      <w:r w:rsidRPr="00520ED5">
        <w:rPr>
          <w:sz w:val="26"/>
          <w:szCs w:val="26"/>
        </w:rPr>
        <w:t xml:space="preserve"> din </w:t>
      </w: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Interne, integral);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</w:rPr>
      </w:pPr>
      <w:r w:rsidRPr="00520ED5">
        <w:rPr>
          <w:sz w:val="26"/>
          <w:szCs w:val="26"/>
        </w:rPr>
        <w:t xml:space="preserve">Concediul de odihnă, Concediul de odihnă suplimentar, Concediul de studii, Învoirile plătite și concediile fără plată, Acordarea biletelor de odihnă, tratament și recuperare (Cap. 1, 2, 3, 4 și 5, toate integral din </w:t>
      </w:r>
      <w:r w:rsidRPr="00520ED5">
        <w:rPr>
          <w:rFonts w:eastAsia="Calibri"/>
          <w:sz w:val="26"/>
          <w:szCs w:val="26"/>
        </w:rPr>
        <w:t>Hotărârea Guvernului</w:t>
      </w:r>
      <w:r w:rsidRPr="00520ED5">
        <w:rPr>
          <w:bCs/>
          <w:sz w:val="26"/>
          <w:szCs w:val="26"/>
        </w:rPr>
        <w:t xml:space="preserve"> nr. 1.578 din 18 decembrie 2002 </w:t>
      </w:r>
      <w:r w:rsidRPr="00520ED5">
        <w:rPr>
          <w:sz w:val="26"/>
          <w:szCs w:val="26"/>
        </w:rPr>
        <w:t>privind condițiile în baza cărora polițistul are dreptul la concedii de odihnă, concedii de studii şi învoiri plătite, concedii fără plata,  bilete de odihnă, tratament şi recuperare);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sz w:val="26"/>
          <w:szCs w:val="26"/>
        </w:rPr>
        <w:t xml:space="preserve">Dispoziții generale, Reguli privind organizarea, pregătirea și executarea ședințelor de tragere, Reguli și măsuri de siguranță privind ordinea în poligon pe timpul executării ședințelor de tragere și de aruncare a grenadelor de mână, Succesiunea activităților în poligon pentru executarea tragerii și controlul armanentului  (Cap. 1, 2, 3, 5, toate integral din </w:t>
      </w:r>
      <w:r w:rsidRPr="00520ED5">
        <w:rPr>
          <w:bCs/>
          <w:sz w:val="26"/>
          <w:szCs w:val="26"/>
          <w:shd w:val="clear" w:color="auto" w:fill="FFFFFF"/>
        </w:rPr>
        <w:t>Ordinul nr. 485 din 19 mai 2008 privind aprobarea Regulamentului general pentru trageri al Ministerului Internelor şi Reformei Administrative);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520ED5">
        <w:rPr>
          <w:bCs/>
          <w:sz w:val="26"/>
          <w:szCs w:val="26"/>
          <w:shd w:val="clear" w:color="auto" w:fill="FFFFFF"/>
        </w:rPr>
        <w:t>Practica elevilor și studenților (Legea nr. 258/2007</w:t>
      </w:r>
      <w:r w:rsidRPr="00520ED5">
        <w:rPr>
          <w:rFonts w:eastAsia="Verdana"/>
          <w:sz w:val="26"/>
          <w:szCs w:val="26"/>
        </w:rPr>
        <w:t xml:space="preserve"> privind practica elevilor şi studenţilor, cu modificările și completările ulterioare.</w:t>
      </w:r>
      <w:r w:rsidRPr="00520ED5">
        <w:rPr>
          <w:bCs/>
          <w:sz w:val="26"/>
          <w:szCs w:val="26"/>
          <w:shd w:val="clear" w:color="auto" w:fill="FFFFFF"/>
        </w:rPr>
        <w:t>, integral);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Cs/>
          <w:sz w:val="26"/>
          <w:szCs w:val="26"/>
          <w:shd w:val="clear" w:color="auto" w:fill="FFFFFF"/>
        </w:rPr>
      </w:pPr>
      <w:r w:rsidRPr="00520ED5">
        <w:rPr>
          <w:bCs/>
          <w:sz w:val="26"/>
          <w:szCs w:val="26"/>
          <w:shd w:val="clear" w:color="auto" w:fill="FFFFFF"/>
        </w:rPr>
        <w:t xml:space="preserve">Pregătirea personalului Ministerului Afacerilor Interne cu drept de conducere a autovehiculelor cu regim de circulație prioritară şi pentru conducerea unor categorii de autovehicule de serviciu aflate în folosința instituției (Ordinul 128/14.11.2018, integral); 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-6570"/>
          <w:tab w:val="left" w:pos="284"/>
        </w:tabs>
        <w:suppressAutoHyphens/>
        <w:autoSpaceDN w:val="0"/>
        <w:ind w:left="0" w:firstLine="0"/>
        <w:jc w:val="both"/>
        <w:textAlignment w:val="baseline"/>
        <w:rPr>
          <w:rFonts w:eastAsia="Calibri"/>
          <w:sz w:val="26"/>
          <w:szCs w:val="26"/>
          <w:lang w:val="en-US"/>
        </w:rPr>
      </w:pPr>
      <w:r w:rsidRPr="00520ED5">
        <w:rPr>
          <w:sz w:val="26"/>
          <w:szCs w:val="26"/>
        </w:rPr>
        <w:t>Uzul de armă (Cap. 3, integral</w:t>
      </w:r>
      <w:r w:rsidRPr="00520ED5">
        <w:rPr>
          <w:bCs/>
          <w:sz w:val="26"/>
          <w:szCs w:val="26"/>
          <w:shd w:val="clear" w:color="auto" w:fill="FFFFFF"/>
        </w:rPr>
        <w:t xml:space="preserve"> din Legea nr. 17/1996 </w:t>
      </w:r>
      <w:r w:rsidRPr="00520ED5">
        <w:rPr>
          <w:rFonts w:eastAsia="Verdana"/>
          <w:sz w:val="26"/>
          <w:szCs w:val="26"/>
        </w:rPr>
        <w:t>privind regimul armelor de foc şi al munițiilor, cu modificările și completările ulterioare)</w:t>
      </w:r>
      <w:r w:rsidRPr="00520ED5">
        <w:rPr>
          <w:sz w:val="26"/>
          <w:szCs w:val="26"/>
        </w:rPr>
        <w:t>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ro-RO"/>
        </w:rPr>
      </w:pPr>
      <w:r w:rsidRPr="00520ED5">
        <w:rPr>
          <w:sz w:val="26"/>
          <w:szCs w:val="26"/>
        </w:rPr>
        <w:t>Infracțiuni de corupție și de serviciu (Titlul V- Capitolul I – art. 289-292) - Partea specială din</w:t>
      </w:r>
      <w:r w:rsidRPr="00520ED5">
        <w:rPr>
          <w:b/>
          <w:sz w:val="26"/>
          <w:szCs w:val="26"/>
        </w:rPr>
        <w:t xml:space="preserve"> </w:t>
      </w:r>
      <w:r w:rsidRPr="00520ED5">
        <w:rPr>
          <w:sz w:val="26"/>
          <w:szCs w:val="26"/>
        </w:rPr>
        <w:t>Legea 286/2009 privind Codul Penal, cu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 xml:space="preserve">Principii generale privind circulația pe drumurile publice - Tema nr. 1, Starea tehnică a autovehiculului; Ergonomia postului de conducere- Tema nr. 4. Elemente de dinamică ale autovehiculului; Factorii care influențează modul de pilotaj -Tema nr. 5 din </w:t>
      </w:r>
      <w:r w:rsidRPr="00520ED5">
        <w:rPr>
          <w:bCs/>
          <w:sz w:val="26"/>
          <w:szCs w:val="26"/>
          <w:shd w:val="clear" w:color="auto" w:fill="FFFFFF"/>
        </w:rPr>
        <w:t>Curriculum pentru cursul de formare instructori „</w:t>
      </w:r>
      <w:r w:rsidRPr="00520ED5">
        <w:rPr>
          <w:bCs/>
          <w:i/>
          <w:sz w:val="26"/>
          <w:szCs w:val="26"/>
          <w:shd w:val="clear" w:color="auto" w:fill="FFFFFF"/>
        </w:rPr>
        <w:t>Conducerea defensivă a autovehiculelor de serviciu</w:t>
      </w:r>
      <w:r w:rsidRPr="00520ED5">
        <w:rPr>
          <w:bCs/>
          <w:sz w:val="26"/>
          <w:szCs w:val="26"/>
          <w:shd w:val="clear" w:color="auto" w:fill="FFFFFF"/>
        </w:rPr>
        <w:t>” nr. 3251 din 21.07.2020. – se regăsesc la anexa 1.1 la prezentul anunț;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i/>
          <w:sz w:val="26"/>
          <w:szCs w:val="26"/>
        </w:rPr>
        <w:t>Cunoașterea pistolului GLOCK 17</w:t>
      </w:r>
      <w:r w:rsidRPr="00520ED5">
        <w:rPr>
          <w:bCs/>
          <w:sz w:val="26"/>
          <w:szCs w:val="26"/>
          <w:shd w:val="clear" w:color="auto" w:fill="FFFFFF"/>
        </w:rPr>
        <w:t xml:space="preserve"> (extras din </w:t>
      </w:r>
      <w:r w:rsidRPr="00520ED5">
        <w:rPr>
          <w:bCs/>
          <w:sz w:val="26"/>
          <w:szCs w:val="26"/>
        </w:rPr>
        <w:t>Instrucțiuni privind cunoașterea pistolului GLOCK 17)</w:t>
      </w:r>
      <w:r w:rsidRPr="00520ED5">
        <w:rPr>
          <w:bCs/>
          <w:sz w:val="26"/>
          <w:szCs w:val="26"/>
          <w:shd w:val="clear" w:color="auto" w:fill="FFFFFF"/>
        </w:rPr>
        <w:t xml:space="preserve"> - anexa 1.2 la prezentul anunț;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i/>
          <w:sz w:val="26"/>
          <w:szCs w:val="26"/>
        </w:rPr>
        <w:t>Cunoasterea pistolului Beretta PX4</w:t>
      </w:r>
      <w:r w:rsidRPr="00520ED5">
        <w:rPr>
          <w:bCs/>
          <w:sz w:val="26"/>
          <w:szCs w:val="26"/>
        </w:rPr>
        <w:t xml:space="preserve"> (Manualul de utilizare a pistolului Beretta PX4) - </w:t>
      </w:r>
      <w:r w:rsidRPr="00520ED5">
        <w:rPr>
          <w:bCs/>
          <w:sz w:val="26"/>
          <w:szCs w:val="26"/>
          <w:shd w:val="clear" w:color="auto" w:fill="FFFFFF"/>
        </w:rPr>
        <w:t xml:space="preserve"> anexa 1.3 la prezentul anunț;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Reguli generale privind utilizarea armamentului (extras din Manualul principalelor măsuri polițienești, anexă la Dispoziția I.G.P.R. nr. 367735 din 12.12.2019 și Dispoziția I.G.P.R. nr. 40/2020 pentru aprobarea instrucțiunilor de tragere ale Poliției Române) -</w:t>
      </w:r>
      <w:r w:rsidRPr="00520ED5">
        <w:rPr>
          <w:bCs/>
          <w:sz w:val="26"/>
          <w:szCs w:val="26"/>
          <w:shd w:val="clear" w:color="auto" w:fill="FFFFFF"/>
        </w:rPr>
        <w:t xml:space="preserve"> anexa 1.4 la prezentul anunț;</w:t>
      </w:r>
    </w:p>
    <w:p w:rsidR="00B93FBE" w:rsidRPr="00520ED5" w:rsidRDefault="00B93FBE" w:rsidP="00B93FBE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</w:p>
    <w:p w:rsidR="00B93FBE" w:rsidRPr="00520ED5" w:rsidRDefault="00B93FBE" w:rsidP="00BF6694">
      <w:pPr>
        <w:tabs>
          <w:tab w:val="left" w:pos="284"/>
        </w:tabs>
        <w:jc w:val="both"/>
        <w:rPr>
          <w:b/>
          <w:sz w:val="26"/>
          <w:szCs w:val="26"/>
          <w:u w:val="single"/>
        </w:rPr>
      </w:pPr>
      <w:r w:rsidRPr="00520ED5">
        <w:rPr>
          <w:b/>
          <w:sz w:val="26"/>
          <w:szCs w:val="26"/>
          <w:u w:val="single"/>
        </w:rPr>
        <w:t>Bibliografie specifică: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sz w:val="26"/>
          <w:szCs w:val="26"/>
          <w:lang w:eastAsia="ro-RO"/>
        </w:rPr>
        <w:t xml:space="preserve">Ordinul nr. 140 din 02.09.2016, </w:t>
      </w:r>
      <w:r w:rsidRPr="00520ED5">
        <w:rPr>
          <w:sz w:val="26"/>
          <w:szCs w:val="26"/>
        </w:rPr>
        <w:t>emis de Ministerul Afacerilor Interne,</w:t>
      </w:r>
      <w:r w:rsidRPr="00520ED5">
        <w:rPr>
          <w:sz w:val="26"/>
          <w:szCs w:val="26"/>
          <w:lang w:eastAsia="ro-RO"/>
        </w:rPr>
        <w:t xml:space="preserve"> privind activitatea de management resurse umane în unitățile de poliție ale </w:t>
      </w:r>
      <w:r w:rsidRPr="00520ED5">
        <w:rPr>
          <w:sz w:val="26"/>
          <w:szCs w:val="26"/>
        </w:rPr>
        <w:t>Ministerului Afacerilor Interne</w:t>
      </w:r>
      <w:r w:rsidRPr="00520ED5">
        <w:rPr>
          <w:sz w:val="26"/>
          <w:szCs w:val="26"/>
          <w:lang w:eastAsia="ro-RO"/>
        </w:rPr>
        <w:t>, cu toate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rFonts w:eastAsia="Calibri"/>
          <w:sz w:val="26"/>
          <w:szCs w:val="26"/>
        </w:rPr>
        <w:t>Hotărârea Guvernului</w:t>
      </w:r>
      <w:r w:rsidRPr="00520ED5">
        <w:rPr>
          <w:bCs/>
          <w:sz w:val="26"/>
          <w:szCs w:val="26"/>
        </w:rPr>
        <w:t xml:space="preserve"> nr. 1.578 din 18 decembrie 2002 </w:t>
      </w:r>
      <w:r w:rsidRPr="00520ED5">
        <w:rPr>
          <w:sz w:val="26"/>
          <w:szCs w:val="26"/>
        </w:rPr>
        <w:t>privind condiţiile în baza cărora poliţistul are dreptul la concedii de odihnă, concedii de studii şi învoiri plătite, concedii fără plata,  bilete de odihnă, tratament şi recuperare,</w:t>
      </w:r>
      <w:r w:rsidRPr="00520ED5">
        <w:rPr>
          <w:rFonts w:eastAsia="Verdana"/>
          <w:sz w:val="26"/>
          <w:szCs w:val="26"/>
        </w:rPr>
        <w:t xml:space="preserve"> cu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t>Ordin nr. 485 din 19 mai 2008 privind aprobarea Regulamentului general pentru trageri al Ministerului Internelor şi Reformei Administrative.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rFonts w:eastAsia="Verdana"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lastRenderedPageBreak/>
        <w:t xml:space="preserve">Legea nr. 258 din 19 iulie 2007 </w:t>
      </w:r>
      <w:r w:rsidRPr="00520ED5">
        <w:rPr>
          <w:rFonts w:eastAsia="Verdana"/>
          <w:sz w:val="26"/>
          <w:szCs w:val="26"/>
        </w:rPr>
        <w:t>privind practica elevilor şi studenţilor, cu modificările și completările ulterioare.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sz w:val="26"/>
          <w:szCs w:val="26"/>
          <w:u w:val="single"/>
        </w:rPr>
      </w:pPr>
      <w:r w:rsidRPr="00520ED5">
        <w:rPr>
          <w:bCs/>
          <w:sz w:val="26"/>
          <w:szCs w:val="26"/>
        </w:rPr>
        <w:t>Ordinul nr. 128 din 14 noiembrie 2018 pentru instituirea unor măsuri privind pregătirea personalului Ministerului Afacerilor Interne  cu drept de conducere a autovehiculelor cu regim de circulație prioritară şi pentru conducerea unor categorii de autovehicule de serviciu aflate în folosința instituției,  precum şi pentru modificarea Normativului privind asigurarea tehnică de autovehicule a structurilor Ministerului Afacerilor Interne, aprobat prin Ordinul ministrului internelor şi reformei administrative nr. 599/2008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</w:tabs>
        <w:ind w:left="0" w:firstLine="0"/>
        <w:jc w:val="both"/>
        <w:rPr>
          <w:b/>
          <w:sz w:val="26"/>
          <w:szCs w:val="26"/>
          <w:u w:val="single"/>
        </w:rPr>
      </w:pPr>
      <w:r w:rsidRPr="00520ED5">
        <w:rPr>
          <w:bCs/>
          <w:sz w:val="26"/>
          <w:szCs w:val="26"/>
          <w:shd w:val="clear" w:color="auto" w:fill="FFFFFF"/>
        </w:rPr>
        <w:t xml:space="preserve">Legea nr. 17 din 2 aprilie 1996 </w:t>
      </w:r>
      <w:r w:rsidRPr="00520ED5">
        <w:rPr>
          <w:rFonts w:eastAsia="Verdana"/>
          <w:sz w:val="26"/>
          <w:szCs w:val="26"/>
        </w:rPr>
        <w:t>privind regimul armelor de foc şi al muniţiilor, cu modificările și completările ulterioare;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  <w:shd w:val="clear" w:color="auto" w:fill="FFFFFF"/>
        </w:rPr>
        <w:t>Curriculum pentru cursul de formare instructori „</w:t>
      </w:r>
      <w:r w:rsidRPr="00520ED5">
        <w:rPr>
          <w:bCs/>
          <w:i/>
          <w:sz w:val="26"/>
          <w:szCs w:val="26"/>
          <w:shd w:val="clear" w:color="auto" w:fill="FFFFFF"/>
        </w:rPr>
        <w:t>Conducerea defensivă a autovehiculelor de serviciu</w:t>
      </w:r>
      <w:r w:rsidRPr="00520ED5">
        <w:rPr>
          <w:bCs/>
          <w:sz w:val="26"/>
          <w:szCs w:val="26"/>
          <w:shd w:val="clear" w:color="auto" w:fill="FFFFFF"/>
        </w:rPr>
        <w:t>” nr. 3251 din 21.07.2020. –</w:t>
      </w:r>
      <w:r w:rsidR="00A20830" w:rsidRPr="00A20830">
        <w:rPr>
          <w:b/>
          <w:bCs/>
          <w:sz w:val="26"/>
          <w:szCs w:val="26"/>
          <w:shd w:val="clear" w:color="auto" w:fill="FFFFFF"/>
        </w:rPr>
        <w:t xml:space="preserve">Anexa </w:t>
      </w:r>
      <w:r w:rsidRPr="00A20830">
        <w:rPr>
          <w:b/>
          <w:bCs/>
          <w:sz w:val="26"/>
          <w:szCs w:val="26"/>
          <w:shd w:val="clear" w:color="auto" w:fill="FFFFFF"/>
        </w:rPr>
        <w:t>1.1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Manualul de utilizare a pistolului Beretta PX4 -</w:t>
      </w:r>
      <w:r w:rsidRPr="00520ED5">
        <w:rPr>
          <w:bCs/>
          <w:sz w:val="26"/>
          <w:szCs w:val="26"/>
          <w:shd w:val="clear" w:color="auto" w:fill="FFFFFF"/>
        </w:rPr>
        <w:t xml:space="preserve"> </w:t>
      </w:r>
      <w:r w:rsidR="00A20830" w:rsidRPr="00A20830">
        <w:rPr>
          <w:b/>
          <w:bCs/>
          <w:sz w:val="26"/>
          <w:szCs w:val="26"/>
          <w:shd w:val="clear" w:color="auto" w:fill="FFFFFF"/>
        </w:rPr>
        <w:t xml:space="preserve">Anexa </w:t>
      </w:r>
      <w:r w:rsidRPr="00A20830">
        <w:rPr>
          <w:b/>
          <w:bCs/>
          <w:sz w:val="26"/>
          <w:szCs w:val="26"/>
          <w:shd w:val="clear" w:color="auto" w:fill="FFFFFF"/>
        </w:rPr>
        <w:t>1.3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>Instrucțiuni privind cunoașterea pistolului GLOCK 17</w:t>
      </w:r>
      <w:r w:rsidRPr="00520ED5">
        <w:rPr>
          <w:bCs/>
          <w:sz w:val="26"/>
          <w:szCs w:val="26"/>
          <w:shd w:val="clear" w:color="auto" w:fill="FFFFFF"/>
        </w:rPr>
        <w:t xml:space="preserve"> – extras </w:t>
      </w:r>
      <w:r w:rsidRPr="00A20830">
        <w:rPr>
          <w:b/>
          <w:bCs/>
          <w:sz w:val="26"/>
          <w:szCs w:val="26"/>
          <w:shd w:val="clear" w:color="auto" w:fill="FFFFFF"/>
        </w:rPr>
        <w:t xml:space="preserve">- </w:t>
      </w:r>
      <w:r w:rsidR="00A20830" w:rsidRPr="00A20830">
        <w:rPr>
          <w:b/>
          <w:bCs/>
          <w:sz w:val="26"/>
          <w:szCs w:val="26"/>
          <w:shd w:val="clear" w:color="auto" w:fill="FFFFFF"/>
        </w:rPr>
        <w:t xml:space="preserve">Anexa </w:t>
      </w:r>
      <w:r w:rsidRPr="00A20830">
        <w:rPr>
          <w:b/>
          <w:bCs/>
          <w:sz w:val="26"/>
          <w:szCs w:val="26"/>
          <w:shd w:val="clear" w:color="auto" w:fill="FFFFFF"/>
        </w:rPr>
        <w:t>1.2 la prezentul anunț</w:t>
      </w:r>
      <w:r w:rsidRPr="00520ED5">
        <w:rPr>
          <w:bCs/>
          <w:sz w:val="26"/>
          <w:szCs w:val="26"/>
          <w:shd w:val="clear" w:color="auto" w:fill="FFFFFF"/>
        </w:rPr>
        <w:t>;</w:t>
      </w:r>
    </w:p>
    <w:p w:rsidR="00B93FBE" w:rsidRPr="00520ED5" w:rsidRDefault="00B93FBE" w:rsidP="00B93FBE">
      <w:pPr>
        <w:numPr>
          <w:ilvl w:val="0"/>
          <w:numId w:val="46"/>
        </w:numPr>
        <w:tabs>
          <w:tab w:val="left" w:pos="284"/>
          <w:tab w:val="left" w:pos="720"/>
        </w:tabs>
        <w:ind w:left="0" w:firstLine="0"/>
        <w:jc w:val="both"/>
        <w:rPr>
          <w:bCs/>
          <w:sz w:val="26"/>
          <w:szCs w:val="26"/>
        </w:rPr>
      </w:pPr>
      <w:r w:rsidRPr="00520ED5">
        <w:rPr>
          <w:bCs/>
          <w:sz w:val="26"/>
          <w:szCs w:val="26"/>
        </w:rPr>
        <w:t xml:space="preserve">Extras din Manualul principalelor măsuri polițienești, anexă la Dispoziția I.G.P.R. nr. 367735 din 12.12.2019 și Dispoziția I.G.P.R. nr. 40/2020 pentru aprobarea instrucțiunilor de tragere ale Poliției Române) - </w:t>
      </w:r>
      <w:r w:rsidR="00A20830">
        <w:rPr>
          <w:b/>
          <w:bCs/>
          <w:sz w:val="26"/>
          <w:szCs w:val="26"/>
          <w:shd w:val="clear" w:color="auto" w:fill="FFFFFF"/>
        </w:rPr>
        <w:t>A</w:t>
      </w:r>
      <w:r w:rsidRPr="00A20830">
        <w:rPr>
          <w:b/>
          <w:bCs/>
          <w:sz w:val="26"/>
          <w:szCs w:val="26"/>
          <w:shd w:val="clear" w:color="auto" w:fill="FFFFFF"/>
        </w:rPr>
        <w:t>nexa 1.4 la prezentul anunț</w:t>
      </w:r>
    </w:p>
    <w:p w:rsidR="00ED7B2A" w:rsidRPr="00BE0743" w:rsidRDefault="00ED7B2A" w:rsidP="00AC7F97">
      <w:pPr>
        <w:ind w:left="360"/>
        <w:jc w:val="both"/>
        <w:rPr>
          <w:rFonts w:eastAsia="Times New Roman"/>
        </w:rPr>
      </w:pPr>
    </w:p>
    <w:p w:rsidR="00ED7B2A" w:rsidRPr="00E97D12" w:rsidRDefault="00ED7B2A" w:rsidP="00ED7B2A">
      <w:pPr>
        <w:jc w:val="both"/>
        <w:rPr>
          <w:b/>
          <w:i/>
        </w:rPr>
      </w:pPr>
      <w:r w:rsidRPr="00E97D12">
        <w:rPr>
          <w:b/>
        </w:rPr>
        <w:t>*</w:t>
      </w:r>
      <w:r w:rsidRPr="00E97D12">
        <w:rPr>
          <w:b/>
          <w:i/>
        </w:rPr>
        <w:t>Candida</w:t>
      </w:r>
      <w:r>
        <w:rPr>
          <w:b/>
          <w:i/>
        </w:rPr>
        <w:t>ț</w:t>
      </w:r>
      <w:r w:rsidRPr="00E97D12">
        <w:rPr>
          <w:b/>
          <w:i/>
        </w:rPr>
        <w:t xml:space="preserve">ii vor studia tematica </w:t>
      </w:r>
      <w:r>
        <w:rPr>
          <w:b/>
          <w:i/>
        </w:rPr>
        <w:t>ș</w:t>
      </w:r>
      <w:r w:rsidRPr="00E97D12">
        <w:rPr>
          <w:b/>
          <w:i/>
        </w:rPr>
        <w:t xml:space="preserve">i bibliografia </w:t>
      </w:r>
      <w:r w:rsidRPr="00ED7B2A">
        <w:rPr>
          <w:b/>
          <w:i/>
        </w:rPr>
        <w:t>specifică postului</w:t>
      </w:r>
      <w:r w:rsidRPr="00E97D12">
        <w:rPr>
          <w:b/>
          <w:i/>
        </w:rPr>
        <w:t xml:space="preserve"> pentru care candidează.</w:t>
      </w:r>
    </w:p>
    <w:p w:rsidR="00ED7B2A" w:rsidRPr="00E97D12" w:rsidRDefault="00ED7B2A" w:rsidP="00ED7B2A">
      <w:pPr>
        <w:autoSpaceDE w:val="0"/>
        <w:autoSpaceDN w:val="0"/>
        <w:adjustRightInd w:val="0"/>
        <w:jc w:val="both"/>
        <w:rPr>
          <w:b/>
        </w:rPr>
      </w:pPr>
      <w:r w:rsidRPr="00E97D12">
        <w:rPr>
          <w:b/>
        </w:rPr>
        <w:t>*</w:t>
      </w:r>
      <w:r w:rsidRPr="00E97D12">
        <w:rPr>
          <w:b/>
          <w:i/>
        </w:rPr>
        <w:t>Candida</w:t>
      </w:r>
      <w:r>
        <w:rPr>
          <w:b/>
          <w:i/>
        </w:rPr>
        <w:t>ț</w:t>
      </w:r>
      <w:r w:rsidRPr="00E97D12">
        <w:rPr>
          <w:b/>
          <w:i/>
        </w:rPr>
        <w:t xml:space="preserve">ii vor studia actele normative stabilite în bibliografie cu toate modificările </w:t>
      </w:r>
      <w:r>
        <w:rPr>
          <w:b/>
          <w:i/>
        </w:rPr>
        <w:t>ș</w:t>
      </w:r>
      <w:r w:rsidRPr="00E97D12">
        <w:rPr>
          <w:b/>
          <w:i/>
        </w:rPr>
        <w:t>i completările avute la data publicării prezentului anun</w:t>
      </w:r>
      <w:r>
        <w:rPr>
          <w:b/>
          <w:i/>
        </w:rPr>
        <w:t>ț</w:t>
      </w:r>
      <w:r w:rsidRPr="00E97D12">
        <w:rPr>
          <w:b/>
          <w:i/>
        </w:rPr>
        <w:t>.</w:t>
      </w:r>
      <w:bookmarkStart w:id="0" w:name="_GoBack"/>
      <w:bookmarkEnd w:id="0"/>
    </w:p>
    <w:sectPr w:rsidR="00ED7B2A" w:rsidRPr="00E97D12" w:rsidSect="00B93FBE">
      <w:pgSz w:w="12240" w:h="15840"/>
      <w:pgMar w:top="630" w:right="758" w:bottom="720" w:left="127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14E" w:rsidRDefault="00F8614E">
      <w:r>
        <w:separator/>
      </w:r>
    </w:p>
  </w:endnote>
  <w:endnote w:type="continuationSeparator" w:id="0">
    <w:p w:rsidR="00F8614E" w:rsidRDefault="00F8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14E" w:rsidRDefault="00F8614E">
      <w:r>
        <w:separator/>
      </w:r>
    </w:p>
  </w:footnote>
  <w:footnote w:type="continuationSeparator" w:id="0">
    <w:p w:rsidR="00F8614E" w:rsidRDefault="00F861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82546"/>
    <w:multiLevelType w:val="hybridMultilevel"/>
    <w:tmpl w:val="EEE67ED0"/>
    <w:lvl w:ilvl="0" w:tplc="040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22284"/>
    <w:multiLevelType w:val="hybridMultilevel"/>
    <w:tmpl w:val="59581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8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5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7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8">
    <w:nsid w:val="2CE04E78"/>
    <w:multiLevelType w:val="hybridMultilevel"/>
    <w:tmpl w:val="14FED17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B7575"/>
    <w:multiLevelType w:val="hybridMultilevel"/>
    <w:tmpl w:val="A7388240"/>
    <w:lvl w:ilvl="0" w:tplc="3258AC74">
      <w:start w:val="3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>
    <w:nsid w:val="4E623F85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CA44894"/>
    <w:multiLevelType w:val="hybridMultilevel"/>
    <w:tmpl w:val="1A2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4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6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2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43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28"/>
  </w:num>
  <w:num w:numId="4">
    <w:abstractNumId w:val="8"/>
  </w:num>
  <w:num w:numId="5">
    <w:abstractNumId w:val="33"/>
  </w:num>
  <w:num w:numId="6">
    <w:abstractNumId w:val="7"/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22"/>
  </w:num>
  <w:num w:numId="13">
    <w:abstractNumId w:val="34"/>
  </w:num>
  <w:num w:numId="14">
    <w:abstractNumId w:val="39"/>
  </w:num>
  <w:num w:numId="15">
    <w:abstractNumId w:val="31"/>
  </w:num>
  <w:num w:numId="16">
    <w:abstractNumId w:val="15"/>
  </w:num>
  <w:num w:numId="17">
    <w:abstractNumId w:val="16"/>
  </w:num>
  <w:num w:numId="18">
    <w:abstractNumId w:val="9"/>
  </w:num>
  <w:num w:numId="19">
    <w:abstractNumId w:val="41"/>
  </w:num>
  <w:num w:numId="20">
    <w:abstractNumId w:val="3"/>
  </w:num>
  <w:num w:numId="21">
    <w:abstractNumId w:val="11"/>
  </w:num>
  <w:num w:numId="22">
    <w:abstractNumId w:val="38"/>
  </w:num>
  <w:num w:numId="23">
    <w:abstractNumId w:val="35"/>
  </w:num>
  <w:num w:numId="24">
    <w:abstractNumId w:val="6"/>
  </w:num>
  <w:num w:numId="25">
    <w:abstractNumId w:val="26"/>
  </w:num>
  <w:num w:numId="26">
    <w:abstractNumId w:val="21"/>
  </w:num>
  <w:num w:numId="27">
    <w:abstractNumId w:val="10"/>
  </w:num>
  <w:num w:numId="28">
    <w:abstractNumId w:val="20"/>
  </w:num>
  <w:num w:numId="29">
    <w:abstractNumId w:val="30"/>
  </w:num>
  <w:num w:numId="30">
    <w:abstractNumId w:val="42"/>
  </w:num>
  <w:num w:numId="31">
    <w:abstractNumId w:val="44"/>
  </w:num>
  <w:num w:numId="32">
    <w:abstractNumId w:val="14"/>
  </w:num>
  <w:num w:numId="33">
    <w:abstractNumId w:val="17"/>
  </w:num>
  <w:num w:numId="34">
    <w:abstractNumId w:val="2"/>
  </w:num>
  <w:num w:numId="35">
    <w:abstractNumId w:val="40"/>
  </w:num>
  <w:num w:numId="36">
    <w:abstractNumId w:val="0"/>
  </w:num>
  <w:num w:numId="37">
    <w:abstractNumId w:val="23"/>
  </w:num>
  <w:num w:numId="38">
    <w:abstractNumId w:val="36"/>
  </w:num>
  <w:num w:numId="39">
    <w:abstractNumId w:val="13"/>
  </w:num>
  <w:num w:numId="40">
    <w:abstractNumId w:val="4"/>
  </w:num>
  <w:num w:numId="41">
    <w:abstractNumId w:val="43"/>
  </w:num>
  <w:num w:numId="42">
    <w:abstractNumId w:val="29"/>
  </w:num>
  <w:num w:numId="43">
    <w:abstractNumId w:val="25"/>
  </w:num>
  <w:num w:numId="44">
    <w:abstractNumId w:val="5"/>
  </w:num>
  <w:num w:numId="45">
    <w:abstractNumId w:val="19"/>
  </w:num>
  <w:num w:numId="46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4990"/>
    <w:rsid w:val="000150F8"/>
    <w:rsid w:val="0001541F"/>
    <w:rsid w:val="00015A80"/>
    <w:rsid w:val="00017361"/>
    <w:rsid w:val="00023F33"/>
    <w:rsid w:val="00025F63"/>
    <w:rsid w:val="00026442"/>
    <w:rsid w:val="000264BD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6038B"/>
    <w:rsid w:val="000649E5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004"/>
    <w:rsid w:val="000B5CF3"/>
    <w:rsid w:val="000B5F8D"/>
    <w:rsid w:val="000B6127"/>
    <w:rsid w:val="000B76EF"/>
    <w:rsid w:val="000C450A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86387"/>
    <w:rsid w:val="00190A60"/>
    <w:rsid w:val="00191977"/>
    <w:rsid w:val="001930F5"/>
    <w:rsid w:val="0019425B"/>
    <w:rsid w:val="00194D30"/>
    <w:rsid w:val="001950FD"/>
    <w:rsid w:val="001976A0"/>
    <w:rsid w:val="001A1101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101E"/>
    <w:rsid w:val="001F15FB"/>
    <w:rsid w:val="001F2439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258C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2CD6"/>
    <w:rsid w:val="002E5203"/>
    <w:rsid w:val="002E575F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4A1E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24E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3F6A9C"/>
    <w:rsid w:val="004044A8"/>
    <w:rsid w:val="00407059"/>
    <w:rsid w:val="004074F7"/>
    <w:rsid w:val="00410B2C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5020C"/>
    <w:rsid w:val="004554D1"/>
    <w:rsid w:val="00457FB1"/>
    <w:rsid w:val="00464995"/>
    <w:rsid w:val="00464F9C"/>
    <w:rsid w:val="00466CB2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27C86"/>
    <w:rsid w:val="00530BEB"/>
    <w:rsid w:val="0053486D"/>
    <w:rsid w:val="005351A8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517F"/>
    <w:rsid w:val="005557D7"/>
    <w:rsid w:val="00555A6B"/>
    <w:rsid w:val="00563E97"/>
    <w:rsid w:val="005640DE"/>
    <w:rsid w:val="00565CED"/>
    <w:rsid w:val="0056782E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A6ADD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1044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6484"/>
    <w:rsid w:val="0065751D"/>
    <w:rsid w:val="006607C2"/>
    <w:rsid w:val="0066194B"/>
    <w:rsid w:val="00662A3D"/>
    <w:rsid w:val="0066339D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CB5"/>
    <w:rsid w:val="00700D4B"/>
    <w:rsid w:val="00700F5C"/>
    <w:rsid w:val="00701254"/>
    <w:rsid w:val="0070205A"/>
    <w:rsid w:val="00702F74"/>
    <w:rsid w:val="00704A2B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AB9"/>
    <w:rsid w:val="00760F2D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0F16"/>
    <w:rsid w:val="0083183D"/>
    <w:rsid w:val="00840441"/>
    <w:rsid w:val="00840926"/>
    <w:rsid w:val="0084105C"/>
    <w:rsid w:val="0084571A"/>
    <w:rsid w:val="00851188"/>
    <w:rsid w:val="00852625"/>
    <w:rsid w:val="0085366B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28F8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3C81"/>
    <w:rsid w:val="008A1F17"/>
    <w:rsid w:val="008A459A"/>
    <w:rsid w:val="008A58C2"/>
    <w:rsid w:val="008A5B63"/>
    <w:rsid w:val="008A7A2F"/>
    <w:rsid w:val="008A7D36"/>
    <w:rsid w:val="008B0B9B"/>
    <w:rsid w:val="008B15FC"/>
    <w:rsid w:val="008B35AC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57FD"/>
    <w:rsid w:val="009066F4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ABA"/>
    <w:rsid w:val="009302B7"/>
    <w:rsid w:val="00933B8F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4424"/>
    <w:rsid w:val="0095558D"/>
    <w:rsid w:val="00955BF7"/>
    <w:rsid w:val="00956F84"/>
    <w:rsid w:val="00960E59"/>
    <w:rsid w:val="00961618"/>
    <w:rsid w:val="00962693"/>
    <w:rsid w:val="00964872"/>
    <w:rsid w:val="009657D2"/>
    <w:rsid w:val="00967FBB"/>
    <w:rsid w:val="00970655"/>
    <w:rsid w:val="00973D42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0830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253F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66AA0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22D1"/>
    <w:rsid w:val="00B8514F"/>
    <w:rsid w:val="00B902EF"/>
    <w:rsid w:val="00B90ECA"/>
    <w:rsid w:val="00B9280B"/>
    <w:rsid w:val="00B92D37"/>
    <w:rsid w:val="00B92F56"/>
    <w:rsid w:val="00B93A14"/>
    <w:rsid w:val="00B93FBE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BF6694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C27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039B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3703"/>
    <w:rsid w:val="00D14411"/>
    <w:rsid w:val="00D17F95"/>
    <w:rsid w:val="00D20BA8"/>
    <w:rsid w:val="00D243DA"/>
    <w:rsid w:val="00D278DD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5C"/>
    <w:rsid w:val="00D6568E"/>
    <w:rsid w:val="00D66A4D"/>
    <w:rsid w:val="00D70EC6"/>
    <w:rsid w:val="00D71AC4"/>
    <w:rsid w:val="00D72133"/>
    <w:rsid w:val="00D72E16"/>
    <w:rsid w:val="00D75B9A"/>
    <w:rsid w:val="00D81077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28D1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46E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5AF0"/>
    <w:rsid w:val="00ED799E"/>
    <w:rsid w:val="00ED7B2A"/>
    <w:rsid w:val="00EE3E8D"/>
    <w:rsid w:val="00EF2F04"/>
    <w:rsid w:val="00EF34A6"/>
    <w:rsid w:val="00EF4692"/>
    <w:rsid w:val="00EF48E4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28D"/>
    <w:rsid w:val="00F1183D"/>
    <w:rsid w:val="00F140E0"/>
    <w:rsid w:val="00F15CC6"/>
    <w:rsid w:val="00F21CCF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4E4F"/>
    <w:rsid w:val="00F568F1"/>
    <w:rsid w:val="00F57236"/>
    <w:rsid w:val="00F64159"/>
    <w:rsid w:val="00F65228"/>
    <w:rsid w:val="00F67CE0"/>
    <w:rsid w:val="00F7106D"/>
    <w:rsid w:val="00F721EE"/>
    <w:rsid w:val="00F74D08"/>
    <w:rsid w:val="00F8614E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431FC31-0CBD-4A9B-93ED-9661476B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character" w:customStyle="1" w:styleId="sden1">
    <w:name w:val="s_den1"/>
    <w:rsid w:val="00B93FBE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NormalWeb">
    <w:name w:val="Normal (Web)"/>
    <w:basedOn w:val="Normal"/>
    <w:uiPriority w:val="99"/>
    <w:unhideWhenUsed/>
    <w:rsid w:val="00B93FBE"/>
    <w:pPr>
      <w:spacing w:before="100" w:beforeAutospacing="1" w:after="100" w:afterAutospacing="1"/>
    </w:pPr>
    <w:rPr>
      <w:rFonts w:eastAsia="Times New Roman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31BE-B372-4A75-B925-39314871A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1821</Words>
  <Characters>10384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12181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subject/>
  <dc:creator>otaranu_cornel</dc:creator>
  <cp:keywords/>
  <dc:description/>
  <cp:lastModifiedBy>deaconu_stefania</cp:lastModifiedBy>
  <cp:revision>13</cp:revision>
  <cp:lastPrinted>2021-09-23T11:10:00Z</cp:lastPrinted>
  <dcterms:created xsi:type="dcterms:W3CDTF">2021-09-19T08:39:00Z</dcterms:created>
  <dcterms:modified xsi:type="dcterms:W3CDTF">2021-09-23T13:36:00Z</dcterms:modified>
</cp:coreProperties>
</file>